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HAnsi"/>
          <w:color w:val="4472C4" w:themeColor="accent1"/>
          <w:sz w:val="24"/>
        </w:rPr>
        <w:id w:val="-220516607"/>
        <w:docPartObj>
          <w:docPartGallery w:val="Cover Pages"/>
          <w:docPartUnique/>
        </w:docPartObj>
      </w:sdtPr>
      <w:sdtEndPr>
        <w:rPr>
          <w:color w:val="auto"/>
        </w:rPr>
      </w:sdtEndPr>
      <w:sdtContent>
        <w:p w14:paraId="60538002" w14:textId="4843B364" w:rsidR="009401B7" w:rsidRDefault="009401B7" w:rsidP="00560F3B">
          <w:pPr>
            <w:pStyle w:val="NoSpacing"/>
            <w:spacing w:before="1540" w:after="240"/>
            <w:jc w:val="both"/>
            <w:rPr>
              <w:color w:val="4472C4" w:themeColor="accent1"/>
            </w:rPr>
          </w:pPr>
          <w:r>
            <w:rPr>
              <w:noProof/>
              <w:color w:val="4472C4" w:themeColor="accent1"/>
            </w:rPr>
            <w:drawing>
              <wp:anchor distT="0" distB="0" distL="114300" distR="114300" simplePos="0" relativeHeight="251663360" behindDoc="0" locked="0" layoutInCell="1" allowOverlap="1" wp14:anchorId="2E451720" wp14:editId="6FE9C845">
                <wp:simplePos x="0" y="0"/>
                <wp:positionH relativeFrom="margin">
                  <wp:align>center</wp:align>
                </wp:positionH>
                <wp:positionV relativeFrom="margin">
                  <wp:posOffset>289560</wp:posOffset>
                </wp:positionV>
                <wp:extent cx="1750695" cy="927100"/>
                <wp:effectExtent l="0" t="0" r="1905" b="6350"/>
                <wp:wrapSquare wrapText="bothSides"/>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prstClr val="black"/>
                            <a:schemeClr val="accent5">
                              <a:lumMod val="75000"/>
                              <a:tint val="45000"/>
                              <a:satMod val="400000"/>
                            </a:schemeClr>
                          </a:duotone>
                          <a:extLst>
                            <a:ext uri="{28A0092B-C50C-407E-A947-70E740481C1C}">
                              <a14:useLocalDpi xmlns:a14="http://schemas.microsoft.com/office/drawing/2010/main" val="0"/>
                            </a:ext>
                          </a:extLst>
                        </a:blip>
                        <a:stretch>
                          <a:fillRect/>
                        </a:stretch>
                      </pic:blipFill>
                      <pic:spPr>
                        <a:xfrm>
                          <a:off x="0" y="0"/>
                          <a:ext cx="1750695" cy="92710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Times New Roman" w:eastAsia="Times New Roman" w:hAnsi="Times New Roman" w:cs="Times New Roman"/>
              <w:b/>
              <w:color w:val="000000"/>
              <w:sz w:val="36"/>
              <w:szCs w:val="36"/>
              <w:lang w:val="en-GB"/>
            </w:rPr>
            <w:alias w:val="Title"/>
            <w:tag w:val=""/>
            <w:id w:val="1735040861"/>
            <w:placeholder>
              <w:docPart w:val="C6846A2CC6FE44F89155F140B9EC138C"/>
            </w:placeholder>
            <w:dataBinding w:prefixMappings="xmlns:ns0='http://purl.org/dc/elements/1.1/' xmlns:ns1='http://schemas.openxmlformats.org/package/2006/metadata/core-properties' " w:xpath="/ns1:coreProperties[1]/ns0:title[1]" w:storeItemID="{6C3C8BC8-F283-45AE-878A-BAB7291924A1}"/>
            <w:text/>
          </w:sdtPr>
          <w:sdtContent>
            <w:p w14:paraId="7E62B94B" w14:textId="3B22361F" w:rsidR="009401B7" w:rsidRDefault="00FA2658" w:rsidP="00560F3B">
              <w:pPr>
                <w:pStyle w:val="NoSpacing"/>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sidRPr="00FA2658">
                <w:rPr>
                  <w:rFonts w:ascii="Times New Roman" w:eastAsia="Times New Roman" w:hAnsi="Times New Roman" w:cs="Times New Roman"/>
                  <w:b/>
                  <w:color w:val="000000"/>
                  <w:sz w:val="36"/>
                  <w:szCs w:val="36"/>
                  <w:lang w:val="en-GB"/>
                </w:rPr>
                <w:t>PHP-34102: Pharmacokinetics</w:t>
              </w:r>
            </w:p>
          </w:sdtContent>
        </w:sdt>
        <w:p w14:paraId="0EA7CBDB" w14:textId="77777777" w:rsidR="00FA2658" w:rsidRPr="007B604E" w:rsidRDefault="00FA2658" w:rsidP="00FA2658">
          <w:pPr>
            <w:jc w:val="center"/>
            <w:rPr>
              <w:rFonts w:ascii="Times New Roman" w:hAnsi="Times New Roman" w:cs="Times New Roman"/>
              <w:b/>
              <w:sz w:val="28"/>
              <w:szCs w:val="28"/>
            </w:rPr>
          </w:pPr>
          <w:r w:rsidRPr="007B604E">
            <w:rPr>
              <w:rFonts w:ascii="Times New Roman" w:hAnsi="Times New Roman" w:cs="Times New Roman"/>
              <w:b/>
              <w:sz w:val="28"/>
              <w:szCs w:val="28"/>
            </w:rPr>
            <w:t>Dr. Imran Masood, PhD</w:t>
          </w:r>
        </w:p>
        <w:p w14:paraId="3234CA63" w14:textId="5FB536CF" w:rsidR="009401B7" w:rsidRDefault="00FA2658" w:rsidP="00FA2658">
          <w:pPr>
            <w:pStyle w:val="NoSpacing"/>
            <w:spacing w:before="480"/>
            <w:jc w:val="center"/>
            <w:rPr>
              <w:color w:val="4472C4" w:themeColor="accent1"/>
            </w:rPr>
          </w:pPr>
          <w:hyperlink r:id="rId9" w:history="1">
            <w:r w:rsidRPr="007B604E">
              <w:rPr>
                <w:rStyle w:val="Hyperlink"/>
                <w:rFonts w:ascii="Times New Roman" w:hAnsi="Times New Roman" w:cs="Times New Roman"/>
                <w:szCs w:val="24"/>
              </w:rPr>
              <w:t>drimranmasood@iub.edu.pk</w:t>
            </w:r>
          </w:hyperlink>
          <w:bookmarkStart w:id="0" w:name="_GoBack"/>
          <w:bookmarkEnd w:id="0"/>
        </w:p>
        <w:p w14:paraId="57E50AC1" w14:textId="49470B75" w:rsidR="00FA2658" w:rsidRDefault="00FA2658" w:rsidP="00FA2658">
          <w:pPr>
            <w:pStyle w:val="NoSpacing"/>
            <w:jc w:val="center"/>
          </w:pPr>
        </w:p>
        <w:p w14:paraId="2C6DAC86" w14:textId="6BA32AEA" w:rsidR="00FA2658" w:rsidRPr="00FA2658" w:rsidRDefault="00FA2658" w:rsidP="00FA2658"/>
        <w:p w14:paraId="07976116" w14:textId="698A2FC4" w:rsidR="00FA2658" w:rsidRPr="00FA2658" w:rsidRDefault="00FA2658" w:rsidP="00FA2658"/>
        <w:p w14:paraId="689C699D" w14:textId="75576DE8" w:rsidR="00FA2658" w:rsidRPr="00FA2658" w:rsidRDefault="00FA2658" w:rsidP="00FA2658">
          <w:r>
            <w:rPr>
              <w:noProof/>
              <w:color w:val="4472C4" w:themeColor="accent1"/>
            </w:rPr>
            <w:drawing>
              <wp:anchor distT="0" distB="0" distL="114300" distR="114300" simplePos="0" relativeHeight="251662336" behindDoc="0" locked="0" layoutInCell="1" allowOverlap="1" wp14:anchorId="783D7513" wp14:editId="3F75CE2C">
                <wp:simplePos x="0" y="0"/>
                <wp:positionH relativeFrom="margin">
                  <wp:posOffset>2362200</wp:posOffset>
                </wp:positionH>
                <wp:positionV relativeFrom="margin">
                  <wp:posOffset>3324225</wp:posOffset>
                </wp:positionV>
                <wp:extent cx="1010920" cy="638175"/>
                <wp:effectExtent l="0" t="0" r="0" b="9525"/>
                <wp:wrapTopAndBottom/>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prstClr val="black"/>
                            <a:schemeClr val="accent5">
                              <a:lumMod val="75000"/>
                              <a:tint val="45000"/>
                              <a:satMod val="400000"/>
                            </a:schemeClr>
                          </a:duotone>
                          <a:extLst>
                            <a:ext uri="{28A0092B-C50C-407E-A947-70E740481C1C}">
                              <a14:useLocalDpi xmlns:a14="http://schemas.microsoft.com/office/drawing/2010/main" val="0"/>
                            </a:ext>
                          </a:extLst>
                        </a:blip>
                        <a:stretch>
                          <a:fillRect/>
                        </a:stretch>
                      </pic:blipFill>
                      <pic:spPr>
                        <a:xfrm>
                          <a:off x="0" y="0"/>
                          <a:ext cx="1010920" cy="638175"/>
                        </a:xfrm>
                        <a:prstGeom prst="rect">
                          <a:avLst/>
                        </a:prstGeom>
                      </pic:spPr>
                    </pic:pic>
                  </a:graphicData>
                </a:graphic>
                <wp14:sizeRelH relativeFrom="margin">
                  <wp14:pctWidth>0</wp14:pctWidth>
                </wp14:sizeRelH>
                <wp14:sizeRelV relativeFrom="margin">
                  <wp14:pctHeight>0</wp14:pctHeight>
                </wp14:sizeRelV>
              </wp:anchor>
            </w:drawing>
          </w:r>
        </w:p>
        <w:p w14:paraId="56AA127A" w14:textId="77777777" w:rsidR="00FA2658" w:rsidRPr="00FA2658" w:rsidRDefault="00FA2658" w:rsidP="00FA2658"/>
        <w:p w14:paraId="265F74BA" w14:textId="7C478A73" w:rsidR="00FA2658" w:rsidRPr="00FA2658" w:rsidRDefault="00FA2658" w:rsidP="00FA2658">
          <w:pPr>
            <w:pStyle w:val="NoSpacing"/>
            <w:jc w:val="center"/>
            <w:rPr>
              <w:rFonts w:ascii="Times New Roman" w:hAnsi="Times New Roman" w:cs="Times New Roman"/>
              <w:b/>
              <w:sz w:val="36"/>
              <w:szCs w:val="36"/>
            </w:rPr>
          </w:pPr>
          <w:r w:rsidRPr="00FA2658">
            <w:rPr>
              <w:rFonts w:ascii="Times New Roman" w:hAnsi="Times New Roman" w:cs="Times New Roman"/>
              <w:b/>
              <w:sz w:val="36"/>
              <w:szCs w:val="36"/>
            </w:rPr>
            <w:t>Drug Dosing in Elderly and Obese Patients</w:t>
          </w:r>
        </w:p>
        <w:p w14:paraId="298AE6F2" w14:textId="440B19E6" w:rsidR="00FA2658" w:rsidRDefault="00FA2658" w:rsidP="00FA2658">
          <w:pPr>
            <w:pStyle w:val="NoSpacing"/>
            <w:jc w:val="center"/>
          </w:pPr>
        </w:p>
        <w:p w14:paraId="664ABD7C" w14:textId="3D6F0459" w:rsidR="00FA2658" w:rsidRDefault="00FA2658" w:rsidP="00FA2658">
          <w:pPr>
            <w:pStyle w:val="NoSpacing"/>
            <w:tabs>
              <w:tab w:val="left" w:pos="2835"/>
            </w:tabs>
            <w:rPr>
              <w:b/>
              <w:bCs/>
              <w:color w:val="4472C4" w:themeColor="accent1"/>
              <w:sz w:val="36"/>
              <w:szCs w:val="36"/>
            </w:rPr>
          </w:pPr>
          <w:r>
            <w:tab/>
          </w:r>
        </w:p>
        <w:p w14:paraId="67068E71" w14:textId="5EDBB305" w:rsidR="00FA2658" w:rsidRDefault="00FA2658" w:rsidP="00FA2658">
          <w:pPr>
            <w:pStyle w:val="NoSpacing"/>
            <w:tabs>
              <w:tab w:val="left" w:pos="2835"/>
            </w:tabs>
            <w:rPr>
              <w:b/>
              <w:bCs/>
              <w:color w:val="4472C4" w:themeColor="accent1"/>
              <w:sz w:val="36"/>
              <w:szCs w:val="36"/>
            </w:rPr>
          </w:pPr>
        </w:p>
        <w:p w14:paraId="2D6FA1F8" w14:textId="2EA56C7B" w:rsidR="00FA2658" w:rsidRDefault="00FA2658" w:rsidP="00FA2658">
          <w:pPr>
            <w:pStyle w:val="NoSpacing"/>
            <w:tabs>
              <w:tab w:val="left" w:pos="2835"/>
            </w:tabs>
            <w:rPr>
              <w:b/>
              <w:bCs/>
              <w:color w:val="4472C4" w:themeColor="accent1"/>
              <w:sz w:val="36"/>
              <w:szCs w:val="36"/>
            </w:rPr>
          </w:pPr>
        </w:p>
        <w:p w14:paraId="1B3F65CE" w14:textId="1FCAFB58" w:rsidR="00FA2658" w:rsidRDefault="00FA2658" w:rsidP="00FA2658">
          <w:pPr>
            <w:pStyle w:val="NoSpacing"/>
            <w:tabs>
              <w:tab w:val="left" w:pos="2835"/>
            </w:tabs>
            <w:rPr>
              <w:b/>
              <w:bCs/>
              <w:color w:val="4472C4" w:themeColor="accent1"/>
              <w:sz w:val="36"/>
              <w:szCs w:val="36"/>
            </w:rPr>
          </w:pPr>
        </w:p>
        <w:p w14:paraId="49191657" w14:textId="627AEA5C" w:rsidR="00FA2658" w:rsidRDefault="00FA2658" w:rsidP="00FA2658">
          <w:pPr>
            <w:pStyle w:val="NoSpacing"/>
            <w:tabs>
              <w:tab w:val="left" w:pos="2835"/>
            </w:tabs>
            <w:rPr>
              <w:b/>
              <w:bCs/>
              <w:color w:val="4472C4" w:themeColor="accent1"/>
              <w:sz w:val="36"/>
              <w:szCs w:val="36"/>
            </w:rPr>
          </w:pPr>
        </w:p>
        <w:p w14:paraId="207DB4B3" w14:textId="235F57AE" w:rsidR="00FA2658" w:rsidRDefault="00FA2658" w:rsidP="00FA2658">
          <w:pPr>
            <w:pStyle w:val="NoSpacing"/>
            <w:tabs>
              <w:tab w:val="left" w:pos="2835"/>
            </w:tabs>
            <w:rPr>
              <w:b/>
              <w:bCs/>
              <w:color w:val="4472C4" w:themeColor="accent1"/>
              <w:sz w:val="36"/>
              <w:szCs w:val="36"/>
            </w:rPr>
          </w:pPr>
        </w:p>
        <w:p w14:paraId="1BB37D90" w14:textId="4FE4BE80" w:rsidR="00FA2658" w:rsidRDefault="00FA2658" w:rsidP="00FA2658">
          <w:pPr>
            <w:pStyle w:val="NoSpacing"/>
            <w:tabs>
              <w:tab w:val="left" w:pos="2835"/>
            </w:tabs>
            <w:rPr>
              <w:b/>
              <w:bCs/>
              <w:color w:val="4472C4" w:themeColor="accent1"/>
              <w:sz w:val="36"/>
              <w:szCs w:val="36"/>
            </w:rPr>
          </w:pPr>
        </w:p>
        <w:p w14:paraId="156D0F64" w14:textId="0863DE24" w:rsidR="00FA2658" w:rsidRDefault="00FA2658" w:rsidP="00FA2658">
          <w:pPr>
            <w:pStyle w:val="NoSpacing"/>
            <w:tabs>
              <w:tab w:val="left" w:pos="2835"/>
            </w:tabs>
            <w:rPr>
              <w:b/>
              <w:bCs/>
              <w:color w:val="4472C4" w:themeColor="accent1"/>
              <w:sz w:val="36"/>
              <w:szCs w:val="36"/>
            </w:rPr>
          </w:pPr>
        </w:p>
        <w:p w14:paraId="7A4DCBE3" w14:textId="77777777" w:rsidR="00FA2658" w:rsidRPr="00096939" w:rsidRDefault="00FA2658" w:rsidP="00FA2658">
          <w:pPr>
            <w:pStyle w:val="NoSpacing"/>
            <w:tabs>
              <w:tab w:val="left" w:pos="2835"/>
            </w:tabs>
            <w:rPr>
              <w:b/>
              <w:bCs/>
              <w:color w:val="4472C4" w:themeColor="accent1"/>
              <w:sz w:val="36"/>
              <w:szCs w:val="36"/>
            </w:rPr>
          </w:pPr>
        </w:p>
        <w:p w14:paraId="3451F58A" w14:textId="58EA2B81" w:rsidR="009401B7" w:rsidRDefault="006D0328" w:rsidP="00560F3B">
          <w:pPr>
            <w:jc w:val="both"/>
          </w:pPr>
        </w:p>
      </w:sdtContent>
    </w:sdt>
    <w:p w14:paraId="2A93DCB1" w14:textId="677DD9EE" w:rsidR="00FA2658" w:rsidRDefault="00FA2658" w:rsidP="00560F3B">
      <w:pPr>
        <w:jc w:val="both"/>
      </w:pPr>
    </w:p>
    <w:p w14:paraId="621E7DDD" w14:textId="7679050D" w:rsidR="00FA2658" w:rsidRDefault="00FA2658" w:rsidP="00560F3B">
      <w:pPr>
        <w:jc w:val="both"/>
      </w:pPr>
    </w:p>
    <w:p w14:paraId="1BC3BDA2" w14:textId="43A45016" w:rsidR="00FA2658" w:rsidRDefault="00FA2658" w:rsidP="00560F3B">
      <w:pPr>
        <w:jc w:val="both"/>
      </w:pPr>
    </w:p>
    <w:p w14:paraId="11A14365" w14:textId="72A346A4" w:rsidR="00FA2658" w:rsidRDefault="00FA2658" w:rsidP="00560F3B">
      <w:pPr>
        <w:jc w:val="both"/>
      </w:pPr>
    </w:p>
    <w:p w14:paraId="7CD9F052" w14:textId="28D224D2" w:rsidR="00FA2658" w:rsidRDefault="00FA2658" w:rsidP="00560F3B">
      <w:pPr>
        <w:jc w:val="both"/>
      </w:pPr>
    </w:p>
    <w:p w14:paraId="20DB4A7B" w14:textId="77777777" w:rsidR="00FA2658" w:rsidRDefault="00FA2658" w:rsidP="00560F3B">
      <w:pPr>
        <w:jc w:val="both"/>
      </w:pPr>
    </w:p>
    <w:p w14:paraId="7EBE41A2" w14:textId="77777777" w:rsidR="009401B7" w:rsidRPr="00964EC3" w:rsidRDefault="009401B7" w:rsidP="00560F3B">
      <w:pPr>
        <w:pStyle w:val="Heading2"/>
        <w:framePr w:wrap="auto" w:vAnchor="margin" w:yAlign="inline"/>
        <w:jc w:val="both"/>
      </w:pPr>
      <w:r w:rsidRPr="00964EC3">
        <w:t xml:space="preserve">Objectives: </w:t>
      </w:r>
    </w:p>
    <w:p w14:paraId="63E8D24B" w14:textId="77777777" w:rsidR="009401B7" w:rsidRDefault="009401B7" w:rsidP="00560F3B">
      <w:pPr>
        <w:jc w:val="both"/>
      </w:pPr>
      <w:r w:rsidRPr="00895327">
        <w:rPr>
          <w:b/>
          <w:sz w:val="40"/>
          <w:szCs w:val="40"/>
        </w:rPr>
        <w:t xml:space="preserve">       </w:t>
      </w:r>
      <w:r w:rsidRPr="00895327">
        <w:t>Followi</w:t>
      </w:r>
      <w:r>
        <w:t>ng are some of the objectives:</w:t>
      </w:r>
    </w:p>
    <w:p w14:paraId="75D87D8E" w14:textId="77777777" w:rsidR="009401B7" w:rsidRPr="00895327" w:rsidRDefault="009401B7" w:rsidP="00560F3B">
      <w:pPr>
        <w:jc w:val="both"/>
      </w:pPr>
      <w:r>
        <w:t xml:space="preserve">                        </w:t>
      </w:r>
      <w:r w:rsidRPr="00895327">
        <w:t xml:space="preserve"> To understand key issues in elderly pharmacotherapy, understand the effect of age on pharmacokinetics and pharmacodynamics, discuss risk factors for adverse drug events and ways to mitigate them, understand the principles of drug prescribing for older patients and drug dosing in obese patients.</w:t>
      </w:r>
    </w:p>
    <w:p w14:paraId="0D55A986" w14:textId="77777777" w:rsidR="009401B7" w:rsidRPr="00964EC3" w:rsidRDefault="009401B7" w:rsidP="00560F3B">
      <w:pPr>
        <w:pStyle w:val="Heading2"/>
        <w:framePr w:wrap="auto" w:vAnchor="margin" w:yAlign="inline"/>
        <w:jc w:val="both"/>
        <w:rPr>
          <w:sz w:val="40"/>
          <w:szCs w:val="40"/>
        </w:rPr>
      </w:pPr>
      <w:r w:rsidRPr="00964EC3">
        <w:t>Challenges of Elderly Pharmacotherapy</w:t>
      </w:r>
      <w:r w:rsidRPr="00964EC3">
        <w:rPr>
          <w:sz w:val="40"/>
          <w:szCs w:val="40"/>
        </w:rPr>
        <w:t>:</w:t>
      </w:r>
    </w:p>
    <w:p w14:paraId="2A5533C0" w14:textId="77777777" w:rsidR="009401B7" w:rsidRDefault="009401B7" w:rsidP="00560F3B">
      <w:pPr>
        <w:jc w:val="both"/>
      </w:pPr>
      <w:r>
        <w:rPr>
          <w:b/>
          <w:sz w:val="40"/>
          <w:szCs w:val="40"/>
        </w:rPr>
        <w:t xml:space="preserve">        </w:t>
      </w:r>
      <w:r>
        <w:t>Following are the challenges which are faced when pharmacotherapy is prescribed to elderly patient.</w:t>
      </w:r>
    </w:p>
    <w:p w14:paraId="21AF1DD3" w14:textId="77777777" w:rsidR="009401B7" w:rsidRDefault="009401B7" w:rsidP="00560F3B">
      <w:pPr>
        <w:jc w:val="both"/>
      </w:pPr>
      <w:r w:rsidRPr="00895327">
        <w:t xml:space="preserve"> Effects of aging physiology on drug therapy</w:t>
      </w:r>
      <w:r>
        <w:t>, m</w:t>
      </w:r>
      <w:r w:rsidRPr="00895327">
        <w:t>ultiple co-morbid states</w:t>
      </w:r>
      <w:r>
        <w:t xml:space="preserve">; that comorbid state will leads to </w:t>
      </w:r>
      <w:r w:rsidRPr="00895327">
        <w:t>polypharmacy</w:t>
      </w:r>
      <w:r>
        <w:t>; more drugs causes more risk of drug-drug interaction, so</w:t>
      </w:r>
      <w:r w:rsidRPr="00895327">
        <w:t xml:space="preserve"> advanced understanding of drug-drug interactions</w:t>
      </w:r>
      <w:r>
        <w:t xml:space="preserve"> that also decrease</w:t>
      </w:r>
      <w:r w:rsidRPr="00895327">
        <w:t xml:space="preserve"> medication compliance and</w:t>
      </w:r>
      <w:r>
        <w:t xml:space="preserve"> increase</w:t>
      </w:r>
      <w:r w:rsidRPr="00895327">
        <w:t xml:space="preserve"> medication cost</w:t>
      </w:r>
      <w:r>
        <w:t>.</w:t>
      </w:r>
    </w:p>
    <w:p w14:paraId="5617EFA8" w14:textId="77777777" w:rsidR="009401B7" w:rsidRPr="00964EC3" w:rsidRDefault="009401B7" w:rsidP="00560F3B">
      <w:pPr>
        <w:pStyle w:val="Heading2"/>
        <w:framePr w:wrap="auto" w:vAnchor="margin" w:yAlign="inline"/>
        <w:jc w:val="both"/>
      </w:pPr>
      <w:r w:rsidRPr="00964EC3">
        <w:t>Definition of Elderly:</w:t>
      </w:r>
    </w:p>
    <w:p w14:paraId="6F51EF39" w14:textId="77777777" w:rsidR="009401B7" w:rsidRPr="00FD7C52" w:rsidRDefault="009401B7" w:rsidP="00560F3B">
      <w:pPr>
        <w:jc w:val="both"/>
        <w:rPr>
          <w:b/>
          <w:sz w:val="40"/>
          <w:szCs w:val="40"/>
        </w:rPr>
      </w:pPr>
      <w:r>
        <w:rPr>
          <w:b/>
          <w:sz w:val="40"/>
          <w:szCs w:val="40"/>
        </w:rPr>
        <w:t xml:space="preserve">          </w:t>
      </w:r>
      <w:r w:rsidRPr="00FD7C52">
        <w:t xml:space="preserve">Aging is a complex and multifactorial process that is an outcome of the accumulation of various functional deficits of multi-organ systems occurring </w:t>
      </w:r>
      <w:r>
        <w:t xml:space="preserve">over time at varying rates. </w:t>
      </w:r>
      <w:r w:rsidRPr="00FD7C52">
        <w:t xml:space="preserve">Due to the expected increase in the aging population, it may be advisable to divide the older population into 3 subgroups: </w:t>
      </w:r>
    </w:p>
    <w:p w14:paraId="35534CD4" w14:textId="77777777" w:rsidR="009401B7" w:rsidRDefault="009401B7" w:rsidP="00560F3B">
      <w:pPr>
        <w:pStyle w:val="ListParagraph"/>
        <w:framePr w:wrap="auto" w:vAnchor="margin" w:yAlign="inline"/>
        <w:tabs>
          <w:tab w:val="center" w:pos="4680"/>
        </w:tabs>
        <w:jc w:val="both"/>
        <w:rPr>
          <w:rFonts w:ascii="Times New Roman" w:hAnsi="Times New Roman" w:cs="Times New Roman"/>
          <w:bCs/>
          <w:sz w:val="28"/>
          <w:szCs w:val="28"/>
        </w:rPr>
      </w:pPr>
      <w:r w:rsidRPr="00FD7C52">
        <w:rPr>
          <w:rFonts w:ascii="Times New Roman" w:hAnsi="Times New Roman" w:cs="Times New Roman"/>
          <w:bCs/>
          <w:sz w:val="28"/>
          <w:szCs w:val="28"/>
        </w:rPr>
        <w:t xml:space="preserve">–young-old, age 65–75 years; </w:t>
      </w:r>
    </w:p>
    <w:p w14:paraId="57B722E0" w14:textId="77777777" w:rsidR="009401B7" w:rsidRDefault="009401B7" w:rsidP="00560F3B">
      <w:pPr>
        <w:pStyle w:val="ListParagraph"/>
        <w:framePr w:wrap="auto" w:vAnchor="margin" w:yAlign="inline"/>
        <w:tabs>
          <w:tab w:val="center" w:pos="4680"/>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D7C52">
        <w:rPr>
          <w:rFonts w:ascii="Times New Roman" w:hAnsi="Times New Roman" w:cs="Times New Roman"/>
          <w:bCs/>
          <w:sz w:val="28"/>
          <w:szCs w:val="28"/>
        </w:rPr>
        <w:t>–old</w:t>
      </w:r>
      <w:r>
        <w:rPr>
          <w:rFonts w:ascii="Times New Roman" w:hAnsi="Times New Roman" w:cs="Times New Roman"/>
          <w:bCs/>
          <w:sz w:val="28"/>
          <w:szCs w:val="28"/>
        </w:rPr>
        <w:t xml:space="preserve">, age 75–85 years; </w:t>
      </w:r>
    </w:p>
    <w:p w14:paraId="27C1DE9E" w14:textId="77777777" w:rsidR="009401B7" w:rsidRPr="00BD0890" w:rsidRDefault="009401B7" w:rsidP="00560F3B">
      <w:pPr>
        <w:pStyle w:val="ListParagraph"/>
        <w:framePr w:wrap="auto" w:vAnchor="margin" w:yAlign="inline"/>
        <w:tabs>
          <w:tab w:val="center" w:pos="4680"/>
        </w:tabs>
        <w:jc w:val="both"/>
        <w:rPr>
          <w:rFonts w:ascii="Times New Roman" w:hAnsi="Times New Roman" w:cs="Times New Roman"/>
          <w:bCs/>
          <w:sz w:val="28"/>
          <w:szCs w:val="28"/>
        </w:rPr>
      </w:pPr>
      <w:r w:rsidRPr="00FD7C52">
        <w:rPr>
          <w:rFonts w:ascii="Times New Roman" w:hAnsi="Times New Roman" w:cs="Times New Roman"/>
          <w:bCs/>
          <w:sz w:val="28"/>
          <w:szCs w:val="28"/>
        </w:rPr>
        <w:t xml:space="preserve">–old-old, age ≥85 years, </w:t>
      </w:r>
    </w:p>
    <w:p w14:paraId="538614CF" w14:textId="77777777" w:rsidR="009401B7" w:rsidRPr="00964EC3" w:rsidRDefault="009401B7" w:rsidP="00560F3B">
      <w:pPr>
        <w:pStyle w:val="Heading2"/>
        <w:framePr w:wrap="auto" w:vAnchor="margin" w:yAlign="inline"/>
        <w:jc w:val="both"/>
      </w:pPr>
      <w:r w:rsidRPr="00964EC3">
        <w:t>The Aging Imperative</w:t>
      </w:r>
      <w:r w:rsidRPr="00BD0890">
        <w:t>:</w:t>
      </w:r>
    </w:p>
    <w:p w14:paraId="22527F55" w14:textId="076FE06F" w:rsidR="00FE5044" w:rsidRDefault="009401B7" w:rsidP="00560F3B">
      <w:pPr>
        <w:jc w:val="both"/>
      </w:pPr>
      <w:r>
        <w:t xml:space="preserve">                 </w:t>
      </w:r>
      <w:r w:rsidRPr="00964EC3">
        <w:t xml:space="preserve">   Persons aged 65y and older constitute 8.5% of the population and purchase 33% of all prescription medications (2016) and by 2050, 17% of the population will purchase 50% of all prescription drugs.</w:t>
      </w:r>
    </w:p>
    <w:p w14:paraId="5DB9B5E1" w14:textId="77777777" w:rsidR="009401B7" w:rsidRPr="00964EC3" w:rsidRDefault="009401B7" w:rsidP="00560F3B">
      <w:pPr>
        <w:pStyle w:val="Heading2"/>
        <w:framePr w:wrap="auto" w:vAnchor="margin" w:yAlign="inline"/>
        <w:jc w:val="both"/>
      </w:pPr>
      <w:r w:rsidRPr="00964EC3">
        <w:t>Effect of aging on Pharmacokinetics of drugs:</w:t>
      </w:r>
    </w:p>
    <w:p w14:paraId="2076EFC7" w14:textId="77777777" w:rsidR="009401B7" w:rsidRPr="00964EC3" w:rsidRDefault="009401B7" w:rsidP="00560F3B">
      <w:pPr>
        <w:pStyle w:val="ListParagraph"/>
        <w:framePr w:wrap="auto" w:vAnchor="margin" w:yAlign="inline"/>
        <w:numPr>
          <w:ilvl w:val="0"/>
          <w:numId w:val="1"/>
        </w:numPr>
        <w:tabs>
          <w:tab w:val="center" w:pos="4680"/>
        </w:tabs>
        <w:jc w:val="both"/>
        <w:rPr>
          <w:rFonts w:ascii="Times New Roman" w:hAnsi="Times New Roman" w:cs="Times New Roman"/>
          <w:b/>
          <w:bCs/>
          <w:sz w:val="28"/>
          <w:szCs w:val="28"/>
        </w:rPr>
      </w:pPr>
      <w:r w:rsidRPr="00964EC3">
        <w:rPr>
          <w:rFonts w:ascii="Times New Roman" w:hAnsi="Times New Roman" w:cs="Times New Roman"/>
          <w:b/>
          <w:bCs/>
          <w:sz w:val="28"/>
          <w:szCs w:val="28"/>
        </w:rPr>
        <w:t>Effects of Aging on Absorption:</w:t>
      </w:r>
    </w:p>
    <w:p w14:paraId="06D7AB21" w14:textId="35A2BBF4" w:rsidR="009401B7" w:rsidRDefault="009401B7" w:rsidP="00560F3B">
      <w:pPr>
        <w:jc w:val="both"/>
      </w:pPr>
      <w:r>
        <w:rPr>
          <w:b/>
          <w:sz w:val="36"/>
          <w:szCs w:val="36"/>
        </w:rPr>
        <w:t xml:space="preserve">            </w:t>
      </w:r>
      <w:r w:rsidRPr="009A607B">
        <w:t>Rate of absorption may be delayed</w:t>
      </w:r>
      <w:r>
        <w:t xml:space="preserve"> because of l</w:t>
      </w:r>
      <w:r w:rsidRPr="009A607B">
        <w:t>ower peak concentration</w:t>
      </w:r>
      <w:r>
        <w:t xml:space="preserve"> and d</w:t>
      </w:r>
      <w:r w:rsidRPr="009A607B">
        <w:t>elayed time to peak concentration</w:t>
      </w:r>
      <w:r>
        <w:t xml:space="preserve"> but o</w:t>
      </w:r>
      <w:r w:rsidRPr="009A607B">
        <w:t>verall amount absorbed (bioavailability) is unchanged</w:t>
      </w:r>
      <w:r>
        <w:t>.</w:t>
      </w:r>
    </w:p>
    <w:p w14:paraId="517B0C72" w14:textId="77777777" w:rsidR="009401B7" w:rsidRPr="00964EC3" w:rsidRDefault="009401B7" w:rsidP="00560F3B">
      <w:pPr>
        <w:pStyle w:val="ListParagraph"/>
        <w:framePr w:wrap="auto" w:vAnchor="margin" w:yAlign="inline"/>
        <w:numPr>
          <w:ilvl w:val="0"/>
          <w:numId w:val="1"/>
        </w:numPr>
        <w:tabs>
          <w:tab w:val="center" w:pos="4680"/>
        </w:tabs>
        <w:jc w:val="both"/>
        <w:rPr>
          <w:rFonts w:ascii="Times New Roman" w:hAnsi="Times New Roman" w:cs="Times New Roman"/>
          <w:b/>
          <w:bCs/>
          <w:sz w:val="28"/>
          <w:szCs w:val="28"/>
        </w:rPr>
      </w:pPr>
      <w:r w:rsidRPr="00964EC3">
        <w:rPr>
          <w:rFonts w:ascii="Times New Roman" w:hAnsi="Times New Roman" w:cs="Times New Roman"/>
          <w:b/>
          <w:bCs/>
          <w:sz w:val="28"/>
          <w:szCs w:val="28"/>
        </w:rPr>
        <w:t>Effect of aging on hepatic First-Pass Metabolism:</w:t>
      </w:r>
    </w:p>
    <w:p w14:paraId="7899499A" w14:textId="77777777" w:rsidR="009401B7" w:rsidRDefault="009401B7" w:rsidP="00560F3B">
      <w:pPr>
        <w:jc w:val="both"/>
      </w:pPr>
      <w:r>
        <w:rPr>
          <w:b/>
          <w:sz w:val="36"/>
          <w:szCs w:val="36"/>
        </w:rPr>
        <w:lastRenderedPageBreak/>
        <w:t xml:space="preserve">   </w:t>
      </w:r>
      <w:r>
        <w:t xml:space="preserve">           </w:t>
      </w:r>
      <w:r w:rsidRPr="009A607B">
        <w:t>For drugs with extensive first-pass metabolism, bioavailability may increase because less drug is extracted by the liver</w:t>
      </w:r>
      <w:r>
        <w:t xml:space="preserve"> because of d</w:t>
      </w:r>
      <w:r w:rsidRPr="009A607B">
        <w:t>ecreased hepatic mass</w:t>
      </w:r>
      <w:r>
        <w:t xml:space="preserve"> and d</w:t>
      </w:r>
      <w:r w:rsidRPr="009A607B">
        <w:t>ecreased hepatic blood flow</w:t>
      </w:r>
      <w:r>
        <w:t>.</w:t>
      </w:r>
    </w:p>
    <w:p w14:paraId="23318651" w14:textId="77777777" w:rsidR="009401B7" w:rsidRPr="00964EC3" w:rsidRDefault="009401B7" w:rsidP="00560F3B">
      <w:pPr>
        <w:pStyle w:val="ListParagraph"/>
        <w:framePr w:wrap="auto" w:vAnchor="margin" w:yAlign="inline"/>
        <w:numPr>
          <w:ilvl w:val="0"/>
          <w:numId w:val="1"/>
        </w:numPr>
        <w:tabs>
          <w:tab w:val="center" w:pos="4680"/>
        </w:tabs>
        <w:jc w:val="both"/>
        <w:rPr>
          <w:rFonts w:ascii="Times New Roman" w:hAnsi="Times New Roman" w:cs="Times New Roman"/>
          <w:b/>
          <w:bCs/>
          <w:sz w:val="28"/>
          <w:szCs w:val="28"/>
        </w:rPr>
      </w:pPr>
      <w:r w:rsidRPr="00964EC3">
        <w:rPr>
          <w:rFonts w:ascii="Times New Roman" w:hAnsi="Times New Roman" w:cs="Times New Roman"/>
          <w:b/>
          <w:bCs/>
          <w:sz w:val="28"/>
          <w:szCs w:val="28"/>
        </w:rPr>
        <w:t>Effects of Aging on Volume of distribution Vd:</w:t>
      </w:r>
    </w:p>
    <w:p w14:paraId="6A01AF94" w14:textId="6867D399" w:rsidR="009401B7" w:rsidRDefault="009401B7" w:rsidP="00560F3B">
      <w:pPr>
        <w:jc w:val="both"/>
      </w:pPr>
      <w:r>
        <w:rPr>
          <w:b/>
          <w:sz w:val="36"/>
          <w:szCs w:val="36"/>
        </w:rPr>
        <w:t xml:space="preserve">   </w:t>
      </w:r>
      <w:r>
        <w:t xml:space="preserve">    Following table show the effect of aging on volume of distribution:</w:t>
      </w:r>
    </w:p>
    <w:tbl>
      <w:tblPr>
        <w:tblpPr w:leftFromText="180" w:rightFromText="180" w:vertAnchor="page" w:horzAnchor="margin" w:tblpY="3376"/>
        <w:tblW w:w="8977" w:type="dxa"/>
        <w:tblCellMar>
          <w:left w:w="0" w:type="dxa"/>
          <w:right w:w="0" w:type="dxa"/>
        </w:tblCellMar>
        <w:tblLook w:val="0600" w:firstRow="0" w:lastRow="0" w:firstColumn="0" w:lastColumn="0" w:noHBand="1" w:noVBand="1"/>
      </w:tblPr>
      <w:tblGrid>
        <w:gridCol w:w="2407"/>
        <w:gridCol w:w="3240"/>
        <w:gridCol w:w="3330"/>
      </w:tblGrid>
      <w:tr w:rsidR="006E289C" w:rsidRPr="00D4298C" w14:paraId="2F003126" w14:textId="77777777" w:rsidTr="006E289C">
        <w:trPr>
          <w:trHeight w:val="333"/>
        </w:trPr>
        <w:tc>
          <w:tcPr>
            <w:tcW w:w="2407"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27AFD4" w14:textId="77777777" w:rsidR="006E289C" w:rsidRPr="00D4298C" w:rsidRDefault="006E289C" w:rsidP="00560F3B">
            <w:pPr>
              <w:tabs>
                <w:tab w:val="center" w:pos="4680"/>
              </w:tabs>
              <w:spacing w:after="0"/>
              <w:jc w:val="both"/>
              <w:rPr>
                <w:rFonts w:ascii="Times New Roman" w:hAnsi="Times New Roman" w:cs="Times New Roman"/>
                <w:b/>
                <w:bCs/>
                <w:sz w:val="28"/>
                <w:szCs w:val="28"/>
              </w:rPr>
            </w:pPr>
            <w:r w:rsidRPr="00D4298C">
              <w:rPr>
                <w:rFonts w:ascii="Times New Roman" w:hAnsi="Times New Roman" w:cs="Times New Roman"/>
                <w:b/>
                <w:bCs/>
                <w:sz w:val="28"/>
                <w:szCs w:val="28"/>
              </w:rPr>
              <w:t>Aging Effect</w:t>
            </w:r>
          </w:p>
        </w:tc>
        <w:tc>
          <w:tcPr>
            <w:tcW w:w="324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1280A" w14:textId="77777777" w:rsidR="006E289C" w:rsidRPr="00D4298C" w:rsidRDefault="006E289C" w:rsidP="00560F3B">
            <w:pPr>
              <w:tabs>
                <w:tab w:val="center" w:pos="4680"/>
              </w:tabs>
              <w:spacing w:after="0"/>
              <w:jc w:val="both"/>
              <w:rPr>
                <w:rFonts w:ascii="Times New Roman" w:hAnsi="Times New Roman" w:cs="Times New Roman"/>
                <w:b/>
                <w:bCs/>
                <w:sz w:val="28"/>
                <w:szCs w:val="28"/>
              </w:rPr>
            </w:pPr>
            <w:r w:rsidRPr="00D4298C">
              <w:rPr>
                <w:rFonts w:ascii="Times New Roman" w:hAnsi="Times New Roman" w:cs="Times New Roman"/>
                <w:b/>
                <w:bCs/>
                <w:sz w:val="28"/>
                <w:szCs w:val="28"/>
              </w:rPr>
              <w:t>Vd Effect</w:t>
            </w:r>
          </w:p>
        </w:tc>
        <w:tc>
          <w:tcPr>
            <w:tcW w:w="3330"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0DB9E12D" w14:textId="77777777" w:rsidR="006E289C" w:rsidRPr="00D4298C" w:rsidRDefault="006E289C" w:rsidP="00560F3B">
            <w:pPr>
              <w:tabs>
                <w:tab w:val="center" w:pos="4680"/>
              </w:tabs>
              <w:spacing w:after="0"/>
              <w:jc w:val="both"/>
              <w:rPr>
                <w:rFonts w:ascii="Times New Roman" w:hAnsi="Times New Roman" w:cs="Times New Roman"/>
                <w:b/>
                <w:bCs/>
                <w:sz w:val="28"/>
                <w:szCs w:val="28"/>
              </w:rPr>
            </w:pPr>
            <w:r w:rsidRPr="00D4298C">
              <w:rPr>
                <w:rFonts w:ascii="Times New Roman" w:hAnsi="Times New Roman" w:cs="Times New Roman"/>
                <w:b/>
                <w:bCs/>
                <w:sz w:val="28"/>
                <w:szCs w:val="28"/>
              </w:rPr>
              <w:t>Examples</w:t>
            </w:r>
          </w:p>
        </w:tc>
      </w:tr>
      <w:tr w:rsidR="006E289C" w:rsidRPr="00964EC3" w14:paraId="6BAB8265" w14:textId="77777777" w:rsidTr="006E289C">
        <w:trPr>
          <w:trHeight w:val="628"/>
        </w:trPr>
        <w:tc>
          <w:tcPr>
            <w:tcW w:w="240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A4251"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F"/>
            </w:r>
            <w:r w:rsidRPr="00964EC3">
              <w:rPr>
                <w:rFonts w:ascii="Times New Roman" w:hAnsi="Times New Roman" w:cs="Times New Roman"/>
                <w:bCs/>
                <w:szCs w:val="24"/>
              </w:rPr>
              <w:t xml:space="preserve"> Body water</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7EEA27"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F"/>
            </w:r>
            <w:r w:rsidRPr="00964EC3">
              <w:rPr>
                <w:rFonts w:ascii="Times New Roman" w:hAnsi="Times New Roman" w:cs="Times New Roman"/>
                <w:bCs/>
                <w:szCs w:val="24"/>
              </w:rPr>
              <w:t xml:space="preserve"> Vd for hydrophilic drugs</w:t>
            </w:r>
          </w:p>
        </w:tc>
        <w:tc>
          <w:tcPr>
            <w:tcW w:w="333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47E9B402"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Ethanol, lithium</w:t>
            </w:r>
          </w:p>
        </w:tc>
      </w:tr>
      <w:tr w:rsidR="006E289C" w:rsidRPr="00964EC3" w14:paraId="5A8B7CBF" w14:textId="77777777" w:rsidTr="006E289C">
        <w:trPr>
          <w:trHeight w:val="556"/>
        </w:trPr>
        <w:tc>
          <w:tcPr>
            <w:tcW w:w="240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B65C72"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F"/>
            </w:r>
            <w:r w:rsidRPr="00964EC3">
              <w:rPr>
                <w:rFonts w:ascii="Times New Roman" w:hAnsi="Times New Roman" w:cs="Times New Roman"/>
                <w:bCs/>
                <w:szCs w:val="24"/>
              </w:rPr>
              <w:t xml:space="preserve"> Lean body mass</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054FB7"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F"/>
            </w:r>
            <w:r w:rsidRPr="00964EC3">
              <w:rPr>
                <w:rFonts w:ascii="Times New Roman" w:hAnsi="Times New Roman" w:cs="Times New Roman"/>
                <w:bCs/>
                <w:szCs w:val="24"/>
              </w:rPr>
              <w:t xml:space="preserve"> Vd for drugs that bind to muscle</w:t>
            </w:r>
          </w:p>
        </w:tc>
        <w:tc>
          <w:tcPr>
            <w:tcW w:w="333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0ECFF234"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Digoxin</w:t>
            </w:r>
          </w:p>
        </w:tc>
      </w:tr>
      <w:tr w:rsidR="006E289C" w:rsidRPr="00964EC3" w14:paraId="38C729CF" w14:textId="77777777" w:rsidTr="006E289C">
        <w:trPr>
          <w:trHeight w:val="583"/>
        </w:trPr>
        <w:tc>
          <w:tcPr>
            <w:tcW w:w="240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3D8CA5"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D"/>
            </w:r>
            <w:r w:rsidRPr="00964EC3">
              <w:rPr>
                <w:rFonts w:ascii="Times New Roman" w:hAnsi="Times New Roman" w:cs="Times New Roman"/>
                <w:bCs/>
                <w:szCs w:val="24"/>
              </w:rPr>
              <w:t xml:space="preserve"> Fat stores</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4966F1"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D"/>
            </w:r>
            <w:r w:rsidRPr="00964EC3">
              <w:rPr>
                <w:rFonts w:ascii="Times New Roman" w:hAnsi="Times New Roman" w:cs="Times New Roman"/>
                <w:bCs/>
                <w:szCs w:val="24"/>
              </w:rPr>
              <w:t xml:space="preserve"> Vd for lipophilic drugs</w:t>
            </w:r>
          </w:p>
        </w:tc>
        <w:tc>
          <w:tcPr>
            <w:tcW w:w="333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72FEEC96"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Diazepam, trazodone</w:t>
            </w:r>
          </w:p>
        </w:tc>
      </w:tr>
      <w:tr w:rsidR="006E289C" w:rsidRPr="00964EC3" w14:paraId="7ADC3340" w14:textId="77777777" w:rsidTr="006E289C">
        <w:trPr>
          <w:trHeight w:val="295"/>
        </w:trPr>
        <w:tc>
          <w:tcPr>
            <w:tcW w:w="240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9BB2A8"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F"/>
            </w:r>
            <w:r w:rsidRPr="00964EC3">
              <w:rPr>
                <w:rFonts w:ascii="Times New Roman" w:hAnsi="Times New Roman" w:cs="Times New Roman"/>
                <w:bCs/>
                <w:szCs w:val="24"/>
              </w:rPr>
              <w:t xml:space="preserve"> Plasma protein (albumin)</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21A34F"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D"/>
            </w:r>
            <w:r w:rsidRPr="00964EC3">
              <w:rPr>
                <w:rFonts w:ascii="Times New Roman" w:hAnsi="Times New Roman" w:cs="Times New Roman"/>
                <w:bCs/>
                <w:szCs w:val="24"/>
              </w:rPr>
              <w:t xml:space="preserve"> % of unbound or free drug (active)</w:t>
            </w:r>
          </w:p>
        </w:tc>
        <w:tc>
          <w:tcPr>
            <w:tcW w:w="333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3882E418"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Diazepam, valproic acid,</w:t>
            </w:r>
          </w:p>
          <w:p w14:paraId="107530C2"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 xml:space="preserve"> phenytoin, warfarin</w:t>
            </w:r>
          </w:p>
        </w:tc>
      </w:tr>
      <w:tr w:rsidR="006E289C" w:rsidRPr="00964EC3" w14:paraId="50918674" w14:textId="77777777" w:rsidTr="006E289C">
        <w:trPr>
          <w:trHeight w:val="823"/>
        </w:trPr>
        <w:tc>
          <w:tcPr>
            <w:tcW w:w="2407"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vAlign w:val="center"/>
            <w:hideMark/>
          </w:tcPr>
          <w:p w14:paraId="6CA727F7"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D"/>
            </w:r>
            <w:r w:rsidRPr="00964EC3">
              <w:rPr>
                <w:rFonts w:ascii="Times New Roman" w:hAnsi="Times New Roman" w:cs="Times New Roman"/>
                <w:bCs/>
                <w:szCs w:val="24"/>
              </w:rPr>
              <w:t xml:space="preserve"> Plasma protein </w:t>
            </w:r>
          </w:p>
          <w:p w14:paraId="63B52989"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w:t>
            </w:r>
            <w:r w:rsidRPr="00964EC3">
              <w:rPr>
                <w:szCs w:val="24"/>
              </w:rPr>
              <w:sym w:font="Symbol" w:char="F061"/>
            </w:r>
            <w:r w:rsidRPr="00964EC3">
              <w:rPr>
                <w:rFonts w:ascii="Times New Roman" w:hAnsi="Times New Roman" w:cs="Times New Roman"/>
                <w:bCs/>
                <w:szCs w:val="24"/>
                <w:vertAlign w:val="subscript"/>
              </w:rPr>
              <w:t>1</w:t>
            </w:r>
            <w:r w:rsidRPr="00964EC3">
              <w:rPr>
                <w:rFonts w:ascii="Times New Roman" w:hAnsi="Times New Roman" w:cs="Times New Roman"/>
                <w:bCs/>
                <w:szCs w:val="24"/>
              </w:rPr>
              <w:t>-acid glycoprotein)</w:t>
            </w:r>
          </w:p>
        </w:tc>
        <w:tc>
          <w:tcPr>
            <w:tcW w:w="324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vAlign w:val="center"/>
            <w:hideMark/>
          </w:tcPr>
          <w:p w14:paraId="380761E2"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szCs w:val="24"/>
              </w:rPr>
              <w:sym w:font="Symbol" w:char="F0DF"/>
            </w:r>
            <w:r w:rsidRPr="00964EC3">
              <w:rPr>
                <w:rFonts w:ascii="Times New Roman" w:hAnsi="Times New Roman" w:cs="Times New Roman"/>
                <w:bCs/>
                <w:szCs w:val="24"/>
              </w:rPr>
              <w:t xml:space="preserve"> % of unbound or free drug (active)</w:t>
            </w:r>
          </w:p>
        </w:tc>
        <w:tc>
          <w:tcPr>
            <w:tcW w:w="3330"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vAlign w:val="center"/>
            <w:hideMark/>
          </w:tcPr>
          <w:p w14:paraId="0E42F146"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Quinidine, propranolol,</w:t>
            </w:r>
          </w:p>
          <w:p w14:paraId="392EB98F" w14:textId="77777777" w:rsidR="006E289C" w:rsidRPr="00964EC3" w:rsidRDefault="006E289C" w:rsidP="00560F3B">
            <w:pPr>
              <w:tabs>
                <w:tab w:val="center" w:pos="4680"/>
              </w:tabs>
              <w:spacing w:after="0"/>
              <w:jc w:val="both"/>
              <w:rPr>
                <w:rFonts w:ascii="Times New Roman" w:hAnsi="Times New Roman" w:cs="Times New Roman"/>
                <w:bCs/>
                <w:szCs w:val="24"/>
              </w:rPr>
            </w:pPr>
            <w:r w:rsidRPr="00964EC3">
              <w:rPr>
                <w:rFonts w:ascii="Times New Roman" w:hAnsi="Times New Roman" w:cs="Times New Roman"/>
                <w:bCs/>
                <w:szCs w:val="24"/>
              </w:rPr>
              <w:t xml:space="preserve"> erythromycin, amitriptyline</w:t>
            </w:r>
          </w:p>
        </w:tc>
      </w:tr>
    </w:tbl>
    <w:p w14:paraId="7A0E35E8" w14:textId="0E74E5DB" w:rsidR="009401B7" w:rsidRPr="00964EC3" w:rsidRDefault="009401B7" w:rsidP="00560F3B">
      <w:pPr>
        <w:pStyle w:val="ListParagraph"/>
        <w:framePr w:wrap="auto" w:vAnchor="margin" w:yAlign="inline"/>
        <w:numPr>
          <w:ilvl w:val="0"/>
          <w:numId w:val="1"/>
        </w:numPr>
        <w:tabs>
          <w:tab w:val="center" w:pos="4680"/>
        </w:tabs>
        <w:jc w:val="both"/>
        <w:rPr>
          <w:rFonts w:ascii="Times New Roman" w:hAnsi="Times New Roman" w:cs="Times New Roman"/>
          <w:bCs/>
          <w:sz w:val="28"/>
          <w:szCs w:val="28"/>
        </w:rPr>
      </w:pPr>
      <w:r w:rsidRPr="00964EC3">
        <w:rPr>
          <w:rFonts w:ascii="Times New Roman" w:hAnsi="Times New Roman" w:cs="Times New Roman"/>
          <w:b/>
          <w:bCs/>
          <w:sz w:val="28"/>
          <w:szCs w:val="28"/>
        </w:rPr>
        <w:t>Aging Effects on Hepatic Metabolism:</w:t>
      </w:r>
    </w:p>
    <w:p w14:paraId="0E370304" w14:textId="77777777" w:rsidR="009401B7" w:rsidRDefault="009401B7" w:rsidP="00560F3B">
      <w:pPr>
        <w:jc w:val="both"/>
      </w:pPr>
      <w:r w:rsidRPr="0045602D">
        <w:rPr>
          <w:b/>
          <w:sz w:val="36"/>
          <w:szCs w:val="36"/>
        </w:rPr>
        <w:t xml:space="preserve">         </w:t>
      </w:r>
      <w:r>
        <w:rPr>
          <w:b/>
          <w:sz w:val="36"/>
          <w:szCs w:val="36"/>
        </w:rPr>
        <w:t xml:space="preserve">            </w:t>
      </w:r>
      <w:r w:rsidRPr="0045602D">
        <w:t xml:space="preserve">Metabolic clearance of drugs by the liver may be reduced </w:t>
      </w:r>
      <w:r>
        <w:t>due to d</w:t>
      </w:r>
      <w:r w:rsidRPr="0045602D">
        <w:t>ecreased hepatic blood flow</w:t>
      </w:r>
      <w:r>
        <w:t xml:space="preserve"> and d</w:t>
      </w:r>
      <w:r w:rsidRPr="0045602D">
        <w:t>ecreased liver size and mass</w:t>
      </w:r>
      <w:r>
        <w:t>. Here below are examples of some drugs whose clearance are reduced.</w:t>
      </w:r>
    </w:p>
    <w:p w14:paraId="6F7B5C22" w14:textId="77777777" w:rsidR="009401B7" w:rsidRDefault="009401B7" w:rsidP="00560F3B">
      <w:pPr>
        <w:jc w:val="both"/>
      </w:pPr>
      <w:r w:rsidRPr="00791558">
        <w:rPr>
          <w:u w:val="single"/>
        </w:rPr>
        <w:t>Examples</w:t>
      </w:r>
      <w:r w:rsidRPr="00791558">
        <w:t>: morphine, meperidine, metoprolol, propranolol, verapamil, amitryptyline, nortriptyline</w:t>
      </w:r>
    </w:p>
    <w:p w14:paraId="5E73B443" w14:textId="77777777" w:rsidR="009401B7" w:rsidRPr="00964EC3" w:rsidRDefault="009401B7" w:rsidP="00560F3B">
      <w:pPr>
        <w:pStyle w:val="ListParagraph"/>
        <w:framePr w:wrap="auto" w:vAnchor="margin" w:yAlign="inline"/>
        <w:numPr>
          <w:ilvl w:val="0"/>
          <w:numId w:val="1"/>
        </w:numPr>
        <w:tabs>
          <w:tab w:val="center" w:pos="4680"/>
        </w:tabs>
        <w:jc w:val="both"/>
        <w:rPr>
          <w:rFonts w:ascii="Times New Roman" w:hAnsi="Times New Roman" w:cs="Times New Roman"/>
          <w:b/>
          <w:bCs/>
          <w:sz w:val="28"/>
          <w:szCs w:val="28"/>
        </w:rPr>
      </w:pPr>
      <w:r w:rsidRPr="00964EC3">
        <w:rPr>
          <w:rFonts w:ascii="Times New Roman" w:hAnsi="Times New Roman" w:cs="Times New Roman"/>
          <w:b/>
          <w:bCs/>
          <w:sz w:val="28"/>
          <w:szCs w:val="28"/>
        </w:rPr>
        <w:t>Estimating GFR in the Elderly:</w:t>
      </w:r>
    </w:p>
    <w:p w14:paraId="17D749E8" w14:textId="0FC946D2" w:rsidR="009401B7" w:rsidRDefault="009401B7" w:rsidP="00560F3B">
      <w:pPr>
        <w:jc w:val="both"/>
      </w:pPr>
      <w:r>
        <w:rPr>
          <w:b/>
          <w:sz w:val="36"/>
          <w:szCs w:val="36"/>
        </w:rPr>
        <w:t xml:space="preserve">         </w:t>
      </w:r>
      <w:r>
        <w:t>a) C</w:t>
      </w:r>
      <w:r w:rsidRPr="00791558">
        <w:t>reatinine clearance (CrCl) is used to estimate glomerular filtration rate</w:t>
      </w:r>
      <w:r>
        <w:t>.</w:t>
      </w:r>
      <w:r w:rsidRPr="00791558">
        <w:t>Serum creatinine alone not accurate in the elderly</w:t>
      </w:r>
      <w:r>
        <w:t xml:space="preserve"> because of  a)</w:t>
      </w:r>
      <w:r w:rsidRPr="00791558">
        <w:sym w:font="Symbol" w:char="F0DF"/>
      </w:r>
      <w:r w:rsidRPr="00791558">
        <w:t xml:space="preserve"> lean body mass </w:t>
      </w:r>
      <w:r w:rsidRPr="00791558">
        <w:sym w:font="Symbol" w:char="F0DE"/>
      </w:r>
      <w:r w:rsidRPr="00791558">
        <w:t xml:space="preserve"> lower creatinine production</w:t>
      </w:r>
      <w:r>
        <w:t xml:space="preserve"> and </w:t>
      </w:r>
    </w:p>
    <w:p w14:paraId="32B06338" w14:textId="49F8448C" w:rsidR="009401B7" w:rsidRDefault="009401B7" w:rsidP="00560F3B">
      <w:pPr>
        <w:jc w:val="both"/>
      </w:pPr>
      <w:r>
        <w:tab/>
        <w:t xml:space="preserve">b)  </w:t>
      </w:r>
      <w:r w:rsidRPr="00791558">
        <w:sym w:font="Symbol" w:char="F0DF"/>
      </w:r>
      <w:r w:rsidRPr="00791558">
        <w:t xml:space="preserve"> glomerular filtration rate</w:t>
      </w:r>
      <w:r>
        <w:t xml:space="preserve"> and s</w:t>
      </w:r>
      <w:r w:rsidRPr="00791558">
        <w:t>erum creatinine stays in normal range, masking change in creatinine clearance</w:t>
      </w:r>
      <w:r>
        <w:t>.</w:t>
      </w:r>
    </w:p>
    <w:p w14:paraId="3A5417BD" w14:textId="77777777" w:rsidR="009401B7" w:rsidRPr="00964EC3" w:rsidRDefault="009401B7" w:rsidP="00560F3B">
      <w:pPr>
        <w:pStyle w:val="ListParagraph"/>
        <w:framePr w:wrap="auto" w:vAnchor="margin" w:yAlign="inline"/>
        <w:numPr>
          <w:ilvl w:val="0"/>
          <w:numId w:val="1"/>
        </w:numPr>
        <w:tabs>
          <w:tab w:val="center" w:pos="4680"/>
        </w:tabs>
        <w:jc w:val="both"/>
        <w:rPr>
          <w:rFonts w:ascii="Times New Roman" w:hAnsi="Times New Roman" w:cs="Times New Roman"/>
          <w:b/>
          <w:bCs/>
          <w:sz w:val="28"/>
          <w:szCs w:val="28"/>
        </w:rPr>
      </w:pPr>
      <w:r w:rsidRPr="00964EC3">
        <w:rPr>
          <w:rFonts w:ascii="Times New Roman" w:hAnsi="Times New Roman" w:cs="Times New Roman"/>
          <w:b/>
          <w:bCs/>
          <w:sz w:val="28"/>
          <w:szCs w:val="28"/>
        </w:rPr>
        <w:t>Estimation of Creatinine Clearance:</w:t>
      </w:r>
    </w:p>
    <w:p w14:paraId="1AA92D53" w14:textId="77777777" w:rsidR="009401B7" w:rsidRPr="009401B7" w:rsidRDefault="009401B7" w:rsidP="00560F3B">
      <w:pPr>
        <w:jc w:val="both"/>
        <w:rPr>
          <w:b/>
          <w:bCs/>
        </w:rPr>
      </w:pPr>
      <w:r w:rsidRPr="00791558">
        <w:rPr>
          <w:sz w:val="36"/>
          <w:szCs w:val="36"/>
        </w:rPr>
        <w:t xml:space="preserve">         </w:t>
      </w:r>
      <w:r w:rsidRPr="009401B7">
        <w:rPr>
          <w:b/>
          <w:bCs/>
        </w:rPr>
        <w:t>Cockroft Gault equation</w:t>
      </w:r>
    </w:p>
    <w:p w14:paraId="72453F1B" w14:textId="2EA2126A" w:rsidR="009401B7" w:rsidRPr="009401B7" w:rsidRDefault="006D0328" w:rsidP="00560F3B">
      <w:pPr>
        <w:jc w:val="both"/>
      </w:pPr>
      <m:oMathPara>
        <m:oMath>
          <m:f>
            <m:fPr>
              <m:ctrlPr>
                <w:rPr>
                  <w:rFonts w:ascii="Cambria Math" w:hAnsi="Cambria Math"/>
                  <w:i/>
                </w:rPr>
              </m:ctrlPr>
            </m:fPr>
            <m:num>
              <m:d>
                <m:dPr>
                  <m:ctrlPr>
                    <w:rPr>
                      <w:rFonts w:ascii="Cambria Math" w:hAnsi="Cambria Math"/>
                      <w:i/>
                    </w:rPr>
                  </m:ctrlPr>
                </m:dPr>
                <m:e>
                  <m:r>
                    <m:rPr>
                      <m:sty m:val="bi"/>
                    </m:rPr>
                    <w:rPr>
                      <w:rFonts w:ascii="Cambria Math" w:hAnsi="Cambria Math"/>
                    </w:rPr>
                    <m:t>140</m:t>
                  </m:r>
                  <m:r>
                    <w:rPr>
                      <w:rFonts w:ascii="Cambria Math" w:hAnsi="Cambria Math"/>
                    </w:rPr>
                    <m:t>-</m:t>
                  </m:r>
                  <m:r>
                    <m:rPr>
                      <m:sty m:val="bi"/>
                    </m:rPr>
                    <w:rPr>
                      <w:rFonts w:ascii="Cambria Math" w:hAnsi="Cambria Math"/>
                    </w:rPr>
                    <m:t>Age</m:t>
                  </m:r>
                </m:e>
              </m:d>
              <m:r>
                <w:rPr>
                  <w:rFonts w:ascii="Cambria Math" w:hAnsi="Cambria Math"/>
                </w:rPr>
                <m:t>×</m:t>
              </m:r>
              <m:r>
                <m:rPr>
                  <m:sty m:val="bi"/>
                </m:rPr>
                <w:rPr>
                  <w:rFonts w:ascii="Cambria Math" w:hAnsi="Cambria Math"/>
                </w:rPr>
                <m:t>LBW</m:t>
              </m:r>
              <m:r>
                <w:rPr>
                  <w:rFonts w:ascii="Cambria Math" w:hAnsi="Cambria Math"/>
                </w:rPr>
                <m:t xml:space="preserve"> </m:t>
              </m:r>
              <m:r>
                <m:rPr>
                  <m:sty m:val="bi"/>
                </m:rPr>
                <w:rPr>
                  <w:rFonts w:ascii="Cambria Math" w:hAnsi="Cambria Math"/>
                </w:rPr>
                <m:t>in</m:t>
              </m:r>
              <m:r>
                <w:rPr>
                  <w:rFonts w:ascii="Cambria Math" w:hAnsi="Cambria Math"/>
                </w:rPr>
                <m:t xml:space="preserve"> </m:t>
              </m:r>
              <m:r>
                <m:rPr>
                  <m:sty m:val="bi"/>
                </m:rPr>
                <w:rPr>
                  <w:rFonts w:ascii="Cambria Math" w:hAnsi="Cambria Math"/>
                </w:rPr>
                <m:t>Kg</m:t>
              </m:r>
            </m:num>
            <m:den>
              <m:r>
                <m:rPr>
                  <m:sty m:val="bi"/>
                </m:rPr>
                <w:rPr>
                  <w:rFonts w:ascii="Cambria Math" w:hAnsi="Cambria Math"/>
                </w:rPr>
                <m:t>72</m:t>
              </m:r>
              <m:r>
                <w:rPr>
                  <w:rFonts w:ascii="Cambria Math" w:hAnsi="Cambria Math"/>
                </w:rPr>
                <m:t xml:space="preserve"> ×</m:t>
              </m:r>
              <m:r>
                <m:rPr>
                  <m:sty m:val="bi"/>
                </m:rPr>
                <w:rPr>
                  <w:rFonts w:ascii="Cambria Math" w:hAnsi="Cambria Math"/>
                </w:rPr>
                <m:t>Scr</m:t>
              </m:r>
              <m:r>
                <w:rPr>
                  <w:rFonts w:ascii="Cambria Math" w:hAnsi="Cambria Math"/>
                </w:rPr>
                <m:t xml:space="preserve"> </m:t>
              </m:r>
              <m:r>
                <m:rPr>
                  <m:sty m:val="bi"/>
                </m:rPr>
                <w:rPr>
                  <w:rFonts w:ascii="Cambria Math" w:hAnsi="Cambria Math"/>
                </w:rPr>
                <m:t>in</m:t>
              </m:r>
              <m:r>
                <w:rPr>
                  <w:rFonts w:ascii="Cambria Math" w:hAnsi="Cambria Math"/>
                </w:rPr>
                <m:t xml:space="preserve"> </m:t>
              </m:r>
              <m:r>
                <m:rPr>
                  <m:sty m:val="bi"/>
                </m:rPr>
                <w:rPr>
                  <w:rFonts w:ascii="Cambria Math" w:hAnsi="Cambria Math"/>
                </w:rPr>
                <m:t>mg</m:t>
              </m:r>
              <m:r>
                <w:rPr>
                  <w:rFonts w:ascii="Cambria Math" w:hAnsi="Cambria Math"/>
                </w:rPr>
                <m:t>/</m:t>
              </m:r>
              <m:r>
                <m:rPr>
                  <m:sty m:val="bi"/>
                </m:rPr>
                <w:rPr>
                  <w:rFonts w:ascii="Cambria Math" w:hAnsi="Cambria Math"/>
                </w:rPr>
                <m:t>dL</m:t>
              </m:r>
            </m:den>
          </m:f>
          <m:r>
            <w:rPr>
              <w:rFonts w:ascii="Cambria Math" w:hAnsi="Cambria Math"/>
            </w:rPr>
            <m:t>×</m:t>
          </m:r>
          <m:r>
            <m:rPr>
              <m:sty m:val="bi"/>
            </m:rPr>
            <w:rPr>
              <w:rFonts w:ascii="Cambria Math" w:hAnsi="Cambria Math"/>
            </w:rPr>
            <m:t>0</m:t>
          </m:r>
          <m:r>
            <w:rPr>
              <w:rFonts w:ascii="Cambria Math" w:hAnsi="Cambria Math"/>
            </w:rPr>
            <m:t>.</m:t>
          </m:r>
          <m:r>
            <m:rPr>
              <m:sty m:val="bi"/>
            </m:rPr>
            <w:rPr>
              <w:rFonts w:ascii="Cambria Math" w:hAnsi="Cambria Math"/>
            </w:rPr>
            <m:t>85</m:t>
          </m:r>
          <m:r>
            <w:rPr>
              <w:rFonts w:ascii="Cambria Math" w:hAnsi="Cambria Math"/>
            </w:rPr>
            <m:t xml:space="preserve"> </m:t>
          </m:r>
          <m:r>
            <m:rPr>
              <m:sty m:val="bi"/>
            </m:rPr>
            <w:rPr>
              <w:rFonts w:ascii="Cambria Math" w:hAnsi="Cambria Math"/>
            </w:rPr>
            <m:t>for</m:t>
          </m:r>
          <m:r>
            <w:rPr>
              <w:rFonts w:ascii="Cambria Math" w:hAnsi="Cambria Math"/>
            </w:rPr>
            <m:t xml:space="preserve"> </m:t>
          </m:r>
          <m:r>
            <m:rPr>
              <m:sty m:val="bi"/>
            </m:rPr>
            <w:rPr>
              <w:rFonts w:ascii="Cambria Math" w:hAnsi="Cambria Math"/>
            </w:rPr>
            <m:t>females</m:t>
          </m:r>
        </m:oMath>
      </m:oMathPara>
    </w:p>
    <w:p w14:paraId="7DAD2D6A" w14:textId="031ED8A8" w:rsidR="009401B7" w:rsidRDefault="009401B7" w:rsidP="00560F3B">
      <w:pPr>
        <w:jc w:val="both"/>
      </w:pPr>
      <w:r>
        <w:t>For males formula remains same but don’t have to multiply with 0.85.</w:t>
      </w:r>
    </w:p>
    <w:p w14:paraId="0F7F8821" w14:textId="2299094C" w:rsidR="009401B7" w:rsidRDefault="009401B7" w:rsidP="00560F3B">
      <w:pPr>
        <w:pStyle w:val="Heading2"/>
        <w:framePr w:wrap="around"/>
        <w:jc w:val="both"/>
      </w:pPr>
      <w:r>
        <w:t>Effect of aging on Pharmacodynamics (PD) of Drugs:</w:t>
      </w:r>
    </w:p>
    <w:p w14:paraId="494F44AE" w14:textId="77777777" w:rsidR="009401B7" w:rsidRDefault="009401B7" w:rsidP="00560F3B">
      <w:pPr>
        <w:tabs>
          <w:tab w:val="center" w:pos="4680"/>
        </w:tabs>
        <w:jc w:val="both"/>
        <w:rPr>
          <w:rFonts w:ascii="Times New Roman" w:hAnsi="Times New Roman" w:cs="Times New Roman"/>
          <w:bCs/>
          <w:sz w:val="28"/>
          <w:szCs w:val="28"/>
        </w:rPr>
      </w:pPr>
    </w:p>
    <w:p w14:paraId="552A8BE8" w14:textId="07C26FFF" w:rsidR="009401B7" w:rsidRPr="00F94E22" w:rsidRDefault="009401B7" w:rsidP="00560F3B">
      <w:pPr>
        <w:jc w:val="both"/>
      </w:pPr>
      <w:r w:rsidRPr="00F94E22">
        <w:lastRenderedPageBreak/>
        <w:t>Elderly have altered drug response or “</w:t>
      </w:r>
      <w:r w:rsidRPr="00F94E22">
        <w:rPr>
          <w:b/>
        </w:rPr>
        <w:t>Sensitivity</w:t>
      </w:r>
      <w:r w:rsidRPr="00F94E22">
        <w:t>”</w:t>
      </w:r>
    </w:p>
    <w:p w14:paraId="5C46163A" w14:textId="77777777" w:rsidR="009401B7" w:rsidRPr="00964EC3" w:rsidRDefault="009401B7" w:rsidP="00560F3B">
      <w:pPr>
        <w:tabs>
          <w:tab w:val="center" w:pos="4680"/>
        </w:tabs>
        <w:ind w:left="360"/>
        <w:jc w:val="both"/>
        <w:rPr>
          <w:rFonts w:ascii="Times New Roman" w:hAnsi="Times New Roman" w:cs="Times New Roman"/>
          <w:b/>
          <w:bCs/>
          <w:sz w:val="28"/>
          <w:szCs w:val="28"/>
        </w:rPr>
      </w:pPr>
      <w:r w:rsidRPr="00964EC3">
        <w:rPr>
          <w:rFonts w:ascii="Times New Roman" w:hAnsi="Times New Roman" w:cs="Times New Roman"/>
          <w:b/>
          <w:bCs/>
          <w:sz w:val="28"/>
          <w:szCs w:val="28"/>
        </w:rPr>
        <w:t>Examples of Age-related changes:</w:t>
      </w:r>
    </w:p>
    <w:p w14:paraId="64DC280F" w14:textId="699B5771" w:rsidR="009401B7" w:rsidRPr="003E03D4" w:rsidRDefault="009401B7" w:rsidP="00560F3B">
      <w:pPr>
        <w:jc w:val="both"/>
        <w:rPr>
          <w:b/>
        </w:rPr>
      </w:pPr>
      <w:r>
        <w:tab/>
      </w:r>
      <w:r>
        <w:tab/>
      </w:r>
      <w:r>
        <w:tab/>
      </w:r>
      <w:r>
        <w:tab/>
      </w:r>
      <w:r w:rsidRPr="00F94E22">
        <w:sym w:font="Symbol" w:char="F0DD"/>
      </w:r>
      <w:r w:rsidRPr="00F94E22">
        <w:t xml:space="preserve"> sensitivity to sedation and psychomotor impairment with </w:t>
      </w:r>
      <w:r>
        <w:rPr>
          <w:b/>
        </w:rPr>
        <w:t>benzodiazepines</w:t>
      </w:r>
      <w:r>
        <w:t xml:space="preserve">, </w:t>
      </w:r>
      <w:r w:rsidRPr="00F94E22">
        <w:sym w:font="Symbol" w:char="F0DD"/>
      </w:r>
      <w:r w:rsidRPr="00F94E22">
        <w:t xml:space="preserve"> level and duration of pain relief </w:t>
      </w:r>
      <w:r w:rsidRPr="00F94E22">
        <w:rPr>
          <w:b/>
        </w:rPr>
        <w:t>with narcotic agents</w:t>
      </w:r>
      <w:r>
        <w:t xml:space="preserve">, </w:t>
      </w:r>
      <w:r w:rsidRPr="00F94E22">
        <w:sym w:font="Symbol" w:char="F0DD"/>
      </w:r>
      <w:r w:rsidRPr="00F94E22">
        <w:t xml:space="preserve"> drowsiness and lateral sway </w:t>
      </w:r>
      <w:r w:rsidRPr="00F94E22">
        <w:rPr>
          <w:b/>
        </w:rPr>
        <w:t>with alcohol</w:t>
      </w:r>
      <w:r>
        <w:t xml:space="preserve">, </w:t>
      </w:r>
      <w:r w:rsidRPr="00F94E22">
        <w:sym w:font="Symbol" w:char="F0DD"/>
      </w:r>
      <w:r w:rsidRPr="00F94E22">
        <w:t xml:space="preserve"> sensitivity to </w:t>
      </w:r>
      <w:r w:rsidRPr="00F94E22">
        <w:rPr>
          <w:b/>
        </w:rPr>
        <w:t>anti-cholinergic agents</w:t>
      </w:r>
      <w:r>
        <w:t xml:space="preserve"> and </w:t>
      </w:r>
      <w:r w:rsidRPr="00F94E22">
        <w:sym w:font="Symbol" w:char="F0DD"/>
      </w:r>
      <w:r w:rsidRPr="00F94E22">
        <w:t xml:space="preserve"> cardiac sensitivity to </w:t>
      </w:r>
      <w:r w:rsidRPr="00F94E22">
        <w:rPr>
          <w:b/>
        </w:rPr>
        <w:t>digoxin</w:t>
      </w:r>
      <w:r>
        <w:rPr>
          <w:b/>
        </w:rPr>
        <w:t>.</w:t>
      </w:r>
    </w:p>
    <w:p w14:paraId="6CF9A34F" w14:textId="68DC5A35" w:rsidR="009401B7" w:rsidRPr="003E03D4" w:rsidRDefault="009401B7" w:rsidP="00560F3B">
      <w:pPr>
        <w:pStyle w:val="Heading2"/>
        <w:framePr w:wrap="around"/>
        <w:jc w:val="both"/>
      </w:pPr>
      <w:r w:rsidRPr="003E03D4">
        <w:t>PK and PD Summary</w:t>
      </w:r>
    </w:p>
    <w:p w14:paraId="5910279F" w14:textId="77777777" w:rsidR="003E03D4" w:rsidRPr="003E03D4" w:rsidRDefault="009401B7" w:rsidP="00560F3B">
      <w:pPr>
        <w:pStyle w:val="ListParagraph"/>
        <w:framePr w:wrap="auto" w:vAnchor="margin" w:yAlign="inline"/>
        <w:tabs>
          <w:tab w:val="center" w:pos="4680"/>
        </w:tabs>
        <w:jc w:val="both"/>
        <w:rPr>
          <w:rFonts w:ascii="Times New Roman" w:hAnsi="Times New Roman" w:cs="Times New Roman"/>
          <w:bCs/>
          <w:sz w:val="28"/>
          <w:szCs w:val="28"/>
          <w:u w:val="single"/>
        </w:rPr>
      </w:pPr>
      <w:r w:rsidRPr="003E03D4">
        <w:rPr>
          <w:rFonts w:ascii="Times New Roman" w:hAnsi="Times New Roman" w:cs="Times New Roman"/>
          <w:b/>
          <w:bCs/>
          <w:sz w:val="36"/>
          <w:szCs w:val="36"/>
          <w:u w:val="single"/>
        </w:rPr>
        <w:t xml:space="preserve">          </w:t>
      </w:r>
      <w:r w:rsidRPr="003E03D4">
        <w:rPr>
          <w:rFonts w:ascii="Times New Roman" w:hAnsi="Times New Roman" w:cs="Times New Roman"/>
          <w:bCs/>
          <w:sz w:val="28"/>
          <w:szCs w:val="28"/>
          <w:u w:val="single"/>
        </w:rPr>
        <w:t xml:space="preserve">  </w:t>
      </w:r>
    </w:p>
    <w:p w14:paraId="3FFB0210" w14:textId="365E41D4" w:rsidR="009401B7" w:rsidRDefault="009401B7" w:rsidP="00560F3B">
      <w:pPr>
        <w:jc w:val="both"/>
      </w:pPr>
      <w:r w:rsidRPr="00F94E22">
        <w:t>PK and PD changes generally result in decreased clearance and increased sensitivity to medications in older adults</w:t>
      </w:r>
      <w:r>
        <w:t xml:space="preserve"> so u</w:t>
      </w:r>
      <w:r w:rsidRPr="00F94E22">
        <w:t>se of lower doses, longer intervals, slower titration are helpful in decreasing the risk of drug intolerance and toxicity</w:t>
      </w:r>
      <w:r>
        <w:t xml:space="preserve">. </w:t>
      </w:r>
      <w:r w:rsidRPr="00F94E22">
        <w:t>Careful monitoring is necessary to ensure successful outcomes</w:t>
      </w:r>
      <w:r>
        <w:t>.</w:t>
      </w:r>
    </w:p>
    <w:p w14:paraId="6782E2F7" w14:textId="77777777" w:rsidR="009401B7" w:rsidRPr="00964EC3" w:rsidRDefault="009401B7" w:rsidP="00560F3B">
      <w:pPr>
        <w:pStyle w:val="Heading2"/>
        <w:framePr w:wrap="around"/>
        <w:jc w:val="both"/>
      </w:pPr>
      <w:r w:rsidRPr="00964EC3">
        <w:t>Polypharmacy:</w:t>
      </w:r>
    </w:p>
    <w:p w14:paraId="592F874D" w14:textId="77777777" w:rsidR="003E03D4" w:rsidRDefault="009401B7" w:rsidP="00560F3B">
      <w:pPr>
        <w:jc w:val="both"/>
        <w:rPr>
          <w:sz w:val="36"/>
          <w:szCs w:val="36"/>
        </w:rPr>
      </w:pPr>
      <w:r>
        <w:rPr>
          <w:sz w:val="36"/>
          <w:szCs w:val="36"/>
        </w:rPr>
        <w:t xml:space="preserve">      </w:t>
      </w:r>
    </w:p>
    <w:p w14:paraId="2349FD31" w14:textId="659C45B8" w:rsidR="009401B7" w:rsidRPr="008224AF" w:rsidRDefault="003E03D4" w:rsidP="00560F3B">
      <w:pPr>
        <w:jc w:val="both"/>
        <w:rPr>
          <w:sz w:val="36"/>
          <w:szCs w:val="36"/>
        </w:rPr>
      </w:pPr>
      <w:r>
        <w:rPr>
          <w:sz w:val="36"/>
          <w:szCs w:val="36"/>
        </w:rPr>
        <w:tab/>
      </w:r>
      <w:r>
        <w:rPr>
          <w:sz w:val="36"/>
          <w:szCs w:val="36"/>
        </w:rPr>
        <w:tab/>
      </w:r>
      <w:r w:rsidR="009401B7" w:rsidRPr="008224AF">
        <w:t>Either the concomitant use of multiple drugs or administration of more drugs than are indicated” (WHO)</w:t>
      </w:r>
    </w:p>
    <w:p w14:paraId="68830402" w14:textId="1F2A5E94" w:rsidR="009401B7" w:rsidRDefault="003E03D4" w:rsidP="00560F3B">
      <w:pPr>
        <w:jc w:val="both"/>
      </w:pPr>
      <w:r>
        <w:tab/>
      </w:r>
      <w:r>
        <w:tab/>
      </w:r>
      <w:r w:rsidR="009401B7" w:rsidRPr="004B6E06">
        <w:t>How many prescription medications are too many? &gt;4 or &gt;6. Many elderly people receive 12 medications per day</w:t>
      </w:r>
      <w:r w:rsidR="009401B7">
        <w:t>. It can</w:t>
      </w:r>
      <w:r w:rsidR="009401B7" w:rsidRPr="004B6E06">
        <w:t xml:space="preserve"> increase the risk of geriatric syndrome (falls, cognitive impairment etc)</w:t>
      </w:r>
      <w:r w:rsidR="009401B7">
        <w:t>.</w:t>
      </w:r>
    </w:p>
    <w:p w14:paraId="0EB24392" w14:textId="77777777" w:rsidR="009401B7" w:rsidRPr="00964EC3" w:rsidRDefault="009401B7" w:rsidP="00560F3B">
      <w:pPr>
        <w:pStyle w:val="Heading2"/>
        <w:framePr w:wrap="around"/>
        <w:jc w:val="both"/>
      </w:pPr>
      <w:r w:rsidRPr="00964EC3">
        <w:t>Consequences of Overprescribing:</w:t>
      </w:r>
    </w:p>
    <w:p w14:paraId="71254136" w14:textId="77777777" w:rsidR="003E03D4" w:rsidRDefault="009401B7" w:rsidP="00560F3B">
      <w:pPr>
        <w:pStyle w:val="ListParagraph"/>
        <w:framePr w:wrap="auto" w:vAnchor="margin" w:yAlign="inline"/>
        <w:tabs>
          <w:tab w:val="center" w:pos="4680"/>
        </w:tabs>
        <w:jc w:val="both"/>
        <w:rPr>
          <w:rFonts w:ascii="Times New Roman" w:hAnsi="Times New Roman" w:cs="Times New Roman"/>
          <w:b/>
          <w:bCs/>
          <w:sz w:val="36"/>
          <w:szCs w:val="36"/>
        </w:rPr>
      </w:pPr>
      <w:r>
        <w:rPr>
          <w:rFonts w:ascii="Times New Roman" w:hAnsi="Times New Roman" w:cs="Times New Roman"/>
          <w:b/>
          <w:bCs/>
          <w:sz w:val="36"/>
          <w:szCs w:val="36"/>
        </w:rPr>
        <w:t xml:space="preserve">           </w:t>
      </w:r>
      <w:r w:rsidRPr="008224AF">
        <w:rPr>
          <w:rFonts w:ascii="Times New Roman" w:hAnsi="Times New Roman" w:cs="Times New Roman"/>
          <w:b/>
          <w:bCs/>
          <w:sz w:val="36"/>
          <w:szCs w:val="36"/>
        </w:rPr>
        <w:t xml:space="preserve"> </w:t>
      </w:r>
    </w:p>
    <w:p w14:paraId="67D6F926" w14:textId="6B1A75C7" w:rsidR="009401B7" w:rsidRPr="008224AF" w:rsidRDefault="009401B7" w:rsidP="00560F3B">
      <w:pPr>
        <w:jc w:val="both"/>
        <w:rPr>
          <w:b/>
          <w:sz w:val="36"/>
          <w:szCs w:val="36"/>
        </w:rPr>
      </w:pPr>
      <w:r w:rsidRPr="008224AF">
        <w:t>Following are the main consequences:</w:t>
      </w:r>
    </w:p>
    <w:p w14:paraId="2865CE9F" w14:textId="208A543D" w:rsidR="009401B7" w:rsidRPr="003E03D4" w:rsidRDefault="009401B7" w:rsidP="00560F3B">
      <w:pPr>
        <w:jc w:val="both"/>
      </w:pPr>
      <w:r>
        <w:t xml:space="preserve">                   </w:t>
      </w:r>
      <w:r w:rsidRPr="00424FA5">
        <w:t>Adverse drug events (ADEs)</w:t>
      </w:r>
      <w:r>
        <w:t>, d</w:t>
      </w:r>
      <w:r w:rsidRPr="00424FA5">
        <w:t>rug interactions</w:t>
      </w:r>
      <w:r>
        <w:t>, d</w:t>
      </w:r>
      <w:r w:rsidRPr="00424FA5">
        <w:t>uplication of drug therapy</w:t>
      </w:r>
      <w:r>
        <w:t>, d</w:t>
      </w:r>
      <w:r w:rsidRPr="00424FA5">
        <w:t>ecreased quality of life</w:t>
      </w:r>
      <w:r>
        <w:t>, u</w:t>
      </w:r>
      <w:r w:rsidRPr="00424FA5">
        <w:t>nnecessary cost</w:t>
      </w:r>
      <w:r>
        <w:t>, m</w:t>
      </w:r>
      <w:r w:rsidRPr="00424FA5">
        <w:t>edication non-adherence</w:t>
      </w:r>
      <w:r>
        <w:t>.</w:t>
      </w:r>
    </w:p>
    <w:p w14:paraId="64B47F41" w14:textId="77777777" w:rsidR="009401B7" w:rsidRPr="00964EC3" w:rsidRDefault="009401B7" w:rsidP="00560F3B">
      <w:pPr>
        <w:pStyle w:val="Heading2"/>
        <w:framePr w:wrap="around"/>
        <w:jc w:val="both"/>
      </w:pPr>
      <w:r w:rsidRPr="00964EC3">
        <w:t>Adverse Drug Events (ADEs):</w:t>
      </w:r>
    </w:p>
    <w:p w14:paraId="0AB7D5B5" w14:textId="77777777" w:rsidR="003E03D4" w:rsidRDefault="009401B7" w:rsidP="00560F3B">
      <w:pPr>
        <w:tabs>
          <w:tab w:val="center" w:pos="4680"/>
        </w:tabs>
        <w:ind w:left="720"/>
        <w:jc w:val="both"/>
        <w:rPr>
          <w:rFonts w:ascii="Times New Roman" w:hAnsi="Times New Roman" w:cs="Times New Roman"/>
          <w:b/>
          <w:bCs/>
          <w:sz w:val="36"/>
          <w:szCs w:val="36"/>
        </w:rPr>
      </w:pPr>
      <w:r>
        <w:rPr>
          <w:rFonts w:ascii="Times New Roman" w:hAnsi="Times New Roman" w:cs="Times New Roman"/>
          <w:b/>
          <w:bCs/>
          <w:sz w:val="36"/>
          <w:szCs w:val="36"/>
        </w:rPr>
        <w:t xml:space="preserve">           </w:t>
      </w:r>
    </w:p>
    <w:p w14:paraId="3CE623E4" w14:textId="0A7BAEB1" w:rsidR="009401B7" w:rsidRPr="003E03D4" w:rsidRDefault="003E03D4" w:rsidP="00560F3B">
      <w:pPr>
        <w:jc w:val="both"/>
      </w:pPr>
      <w:r>
        <w:tab/>
      </w:r>
      <w:r>
        <w:tab/>
      </w:r>
      <w:r>
        <w:tab/>
      </w:r>
      <w:r w:rsidR="009401B7">
        <w:t>ADEs are r</w:t>
      </w:r>
      <w:r w:rsidR="009401B7" w:rsidRPr="005D6380">
        <w:t>esponsible for 5-28% of acute geriatric hospital admissions</w:t>
      </w:r>
      <w:r w:rsidR="009401B7">
        <w:t xml:space="preserve">. </w:t>
      </w:r>
      <w:r w:rsidR="009401B7" w:rsidRPr="005D6380">
        <w:t>Greater than 95% of ADEs in the elderly are considered predictable and approximately 50% are considered preventable</w:t>
      </w:r>
      <w:r w:rsidR="009401B7">
        <w:t xml:space="preserve">. </w:t>
      </w:r>
      <w:r w:rsidR="009401B7" w:rsidRPr="005D6380">
        <w:t>Most errors occur at the ordering and monitoring stages</w:t>
      </w:r>
      <w:r w:rsidR="009401B7">
        <w:t>.</w:t>
      </w:r>
    </w:p>
    <w:p w14:paraId="63FBC987" w14:textId="77777777" w:rsidR="009401B7" w:rsidRPr="00964EC3" w:rsidRDefault="009401B7" w:rsidP="00560F3B">
      <w:pPr>
        <w:pStyle w:val="Heading2"/>
        <w:framePr w:wrap="around"/>
        <w:jc w:val="both"/>
      </w:pPr>
      <w:r w:rsidRPr="00964EC3">
        <w:t>Factors contributing to ADRs in elderly patients:</w:t>
      </w:r>
    </w:p>
    <w:p w14:paraId="08CC7375" w14:textId="77777777" w:rsidR="009401B7" w:rsidRDefault="009401B7" w:rsidP="00560F3B">
      <w:pPr>
        <w:tabs>
          <w:tab w:val="center" w:pos="4680"/>
        </w:tabs>
        <w:jc w:val="both"/>
        <w:rPr>
          <w:rFonts w:ascii="Times New Roman" w:hAnsi="Times New Roman" w:cs="Times New Roman"/>
          <w:b/>
          <w:bCs/>
          <w:sz w:val="36"/>
          <w:szCs w:val="36"/>
        </w:rPr>
      </w:pPr>
    </w:p>
    <w:p w14:paraId="2DB92885" w14:textId="19534D7E" w:rsidR="009401B7" w:rsidRPr="003E03D4" w:rsidRDefault="009401B7" w:rsidP="00560F3B">
      <w:pPr>
        <w:tabs>
          <w:tab w:val="center" w:pos="4680"/>
        </w:tabs>
        <w:jc w:val="both"/>
        <w:rPr>
          <w:rFonts w:ascii="Times New Roman" w:hAnsi="Times New Roman" w:cs="Times New Roman"/>
          <w:b/>
          <w:bCs/>
          <w:sz w:val="36"/>
          <w:szCs w:val="36"/>
        </w:rPr>
      </w:pPr>
      <w:r w:rsidRPr="00B01133">
        <w:rPr>
          <w:rFonts w:ascii="Times New Roman" w:hAnsi="Times New Roman" w:cs="Times New Roman"/>
          <w:b/>
          <w:bCs/>
          <w:noProof/>
          <w:sz w:val="36"/>
          <w:szCs w:val="36"/>
        </w:rPr>
        <w:lastRenderedPageBreak/>
        <w:drawing>
          <wp:inline distT="0" distB="0" distL="0" distR="0" wp14:anchorId="3F92DA4D" wp14:editId="5D64331F">
            <wp:extent cx="4768133" cy="2409825"/>
            <wp:effectExtent l="0" t="0" r="0" b="0"/>
            <wp:docPr id="13314" name="Pictur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 name="Picture 2" descr="msotw9_temp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7843" cy="2424841"/>
                    </a:xfrm>
                    <a:prstGeom prst="rect">
                      <a:avLst/>
                    </a:prstGeom>
                    <a:noFill/>
                    <a:ln>
                      <a:noFill/>
                    </a:ln>
                  </pic:spPr>
                </pic:pic>
              </a:graphicData>
            </a:graphic>
          </wp:inline>
        </w:drawing>
      </w:r>
    </w:p>
    <w:p w14:paraId="33544E35" w14:textId="77777777" w:rsidR="009401B7" w:rsidRPr="00964EC3" w:rsidRDefault="009401B7" w:rsidP="00560F3B">
      <w:pPr>
        <w:pStyle w:val="Heading2"/>
        <w:framePr w:wrap="around"/>
        <w:jc w:val="both"/>
      </w:pPr>
      <w:r w:rsidRPr="00964EC3">
        <w:t>Most Common Medications Associated with ADEs in the Elderly:</w:t>
      </w:r>
    </w:p>
    <w:p w14:paraId="39FB0FAE" w14:textId="77777777" w:rsidR="003E03D4" w:rsidRDefault="009401B7" w:rsidP="00560F3B">
      <w:pPr>
        <w:pStyle w:val="ListParagraph"/>
        <w:framePr w:wrap="auto" w:vAnchor="margin" w:yAlign="inline"/>
        <w:tabs>
          <w:tab w:val="left" w:pos="4680"/>
        </w:tabs>
        <w:jc w:val="both"/>
        <w:rPr>
          <w:rFonts w:ascii="Times New Roman" w:hAnsi="Times New Roman" w:cs="Times New Roman"/>
          <w:b/>
          <w:bCs/>
          <w:sz w:val="32"/>
          <w:szCs w:val="32"/>
        </w:rPr>
      </w:pPr>
      <w:r>
        <w:rPr>
          <w:rFonts w:ascii="Times New Roman" w:hAnsi="Times New Roman" w:cs="Times New Roman"/>
          <w:b/>
          <w:bCs/>
          <w:sz w:val="32"/>
          <w:szCs w:val="32"/>
        </w:rPr>
        <w:tab/>
      </w:r>
    </w:p>
    <w:p w14:paraId="44492391" w14:textId="456B21C3" w:rsidR="009401B7" w:rsidRPr="008224AF" w:rsidRDefault="009401B7" w:rsidP="00560F3B">
      <w:pPr>
        <w:jc w:val="both"/>
        <w:rPr>
          <w:b/>
          <w:sz w:val="32"/>
          <w:szCs w:val="32"/>
        </w:rPr>
      </w:pPr>
      <w:r w:rsidRPr="003E03D4">
        <w:t>Following</w:t>
      </w:r>
      <w:r w:rsidRPr="008224AF">
        <w:t xml:space="preserve"> are the examples of the class of drugs that are most commonly associated with ADEs in elderly:</w:t>
      </w:r>
    </w:p>
    <w:p w14:paraId="1614BE79" w14:textId="70DE9020" w:rsidR="009401B7" w:rsidRPr="003E03D4" w:rsidRDefault="009401B7" w:rsidP="00560F3B">
      <w:pPr>
        <w:jc w:val="both"/>
      </w:pPr>
      <w:r w:rsidRPr="00B01133">
        <w:t>Opioid analgesics</w:t>
      </w:r>
      <w:r>
        <w:t xml:space="preserve">, </w:t>
      </w:r>
      <w:r w:rsidRPr="00B01133">
        <w:t>NSAIDs</w:t>
      </w:r>
      <w:r>
        <w:t>, a</w:t>
      </w:r>
      <w:r w:rsidRPr="00B01133">
        <w:t>nticholinergics</w:t>
      </w:r>
      <w:r>
        <w:t xml:space="preserve">, benzodiazepines, </w:t>
      </w:r>
      <w:r w:rsidRPr="00B01133">
        <w:t xml:space="preserve"> cardiovascular agents, CNS agents, and musculoskeletal agents</w:t>
      </w:r>
      <w:r>
        <w:t>.</w:t>
      </w:r>
    </w:p>
    <w:p w14:paraId="34DBD823" w14:textId="77777777" w:rsidR="009401B7" w:rsidRDefault="009401B7" w:rsidP="00560F3B">
      <w:pPr>
        <w:pStyle w:val="Heading2"/>
        <w:framePr w:wrap="around"/>
        <w:jc w:val="both"/>
      </w:pPr>
      <w:r w:rsidRPr="00964EC3">
        <w:t>What is Beers Criteria?</w:t>
      </w:r>
    </w:p>
    <w:p w14:paraId="70FF88AF" w14:textId="77777777" w:rsidR="009401B7" w:rsidRDefault="009401B7" w:rsidP="00560F3B">
      <w:pPr>
        <w:pStyle w:val="ListParagraph"/>
        <w:framePr w:wrap="auto" w:vAnchor="margin" w:yAlign="inline"/>
        <w:tabs>
          <w:tab w:val="center" w:pos="4680"/>
        </w:tabs>
        <w:jc w:val="both"/>
        <w:rPr>
          <w:rFonts w:ascii="Times New Roman" w:hAnsi="Times New Roman" w:cs="Times New Roman"/>
          <w:b/>
          <w:bCs/>
          <w:sz w:val="32"/>
          <w:szCs w:val="32"/>
          <w:u w:val="single"/>
        </w:rPr>
      </w:pPr>
    </w:p>
    <w:p w14:paraId="055E425C" w14:textId="6953ABF2" w:rsidR="003E03D4" w:rsidRPr="006E289C" w:rsidRDefault="009401B7" w:rsidP="00560F3B">
      <w:pPr>
        <w:jc w:val="both"/>
        <w:rPr>
          <w:b/>
          <w:sz w:val="32"/>
          <w:szCs w:val="32"/>
          <w:u w:val="single"/>
        </w:rPr>
      </w:pPr>
      <w:r w:rsidRPr="008224AF">
        <w:t>A list of medications that are generally considered inappropriate when given to elderly people. For a wide variety of individual reasons, the medications listed tend to cause side effects in the elderly due to the physiologic changes of aging. The list was originally created by geriatrician Mark H. Beers in 1991. Last updated in 2011 but list is unchanged since 2002.</w:t>
      </w:r>
    </w:p>
    <w:p w14:paraId="26D9F8F5" w14:textId="77777777" w:rsidR="009401B7" w:rsidRPr="003E03D4" w:rsidRDefault="009401B7" w:rsidP="00560F3B">
      <w:pPr>
        <w:pStyle w:val="Heading2"/>
        <w:framePr w:wrap="around"/>
        <w:jc w:val="both"/>
      </w:pPr>
      <w:r w:rsidRPr="003E03D4">
        <w:t>Beers Criteria 2002 for Potentially Inappropriate Medication Use in elderly;</w:t>
      </w:r>
    </w:p>
    <w:tbl>
      <w:tblPr>
        <w:tblW w:w="8990" w:type="dxa"/>
        <w:tblCellMar>
          <w:left w:w="0" w:type="dxa"/>
          <w:right w:w="0" w:type="dxa"/>
        </w:tblCellMar>
        <w:tblLook w:val="0600" w:firstRow="0" w:lastRow="0" w:firstColumn="0" w:lastColumn="0" w:noHBand="1" w:noVBand="1"/>
      </w:tblPr>
      <w:tblGrid>
        <w:gridCol w:w="2500"/>
        <w:gridCol w:w="5048"/>
        <w:gridCol w:w="1442"/>
      </w:tblGrid>
      <w:tr w:rsidR="009401B7" w:rsidRPr="00B01133" w14:paraId="007B310A" w14:textId="77777777" w:rsidTr="00171745">
        <w:trPr>
          <w:trHeight w:val="97"/>
        </w:trPr>
        <w:tc>
          <w:tcPr>
            <w:tcW w:w="250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3088C7" w14:textId="77777777" w:rsidR="009401B7" w:rsidRPr="00B01133" w:rsidRDefault="009401B7" w:rsidP="00560F3B">
            <w:pPr>
              <w:tabs>
                <w:tab w:val="center" w:pos="4680"/>
              </w:tabs>
              <w:spacing w:after="0"/>
              <w:jc w:val="both"/>
              <w:rPr>
                <w:rFonts w:ascii="Times New Roman" w:hAnsi="Times New Roman" w:cs="Times New Roman"/>
                <w:bCs/>
                <w:sz w:val="28"/>
                <w:szCs w:val="28"/>
              </w:rPr>
            </w:pPr>
            <w:r w:rsidRPr="00B01133">
              <w:rPr>
                <w:rFonts w:ascii="Times New Roman" w:hAnsi="Times New Roman" w:cs="Times New Roman"/>
                <w:b/>
                <w:bCs/>
                <w:sz w:val="28"/>
                <w:szCs w:val="28"/>
              </w:rPr>
              <w:t>Drug</w:t>
            </w:r>
          </w:p>
        </w:tc>
        <w:tc>
          <w:tcPr>
            <w:tcW w:w="5048" w:type="dxa"/>
            <w:tcBorders>
              <w:top w:val="single" w:sz="18" w:space="0" w:color="000000"/>
              <w:left w:val="single" w:sz="18" w:space="0" w:color="000000"/>
              <w:bottom w:val="single" w:sz="8" w:space="0" w:color="000000"/>
              <w:right w:val="single" w:sz="8" w:space="0" w:color="000000"/>
            </w:tcBorders>
            <w:vAlign w:val="center"/>
          </w:tcPr>
          <w:p w14:paraId="47FBEF7E" w14:textId="6695CBC2" w:rsidR="009401B7" w:rsidRPr="00B01133" w:rsidRDefault="009401B7" w:rsidP="00560F3B">
            <w:pPr>
              <w:tabs>
                <w:tab w:val="center" w:pos="4680"/>
              </w:tabs>
              <w:spacing w:after="0"/>
              <w:jc w:val="both"/>
              <w:rPr>
                <w:rFonts w:ascii="Times New Roman" w:hAnsi="Times New Roman" w:cs="Times New Roman"/>
                <w:b/>
                <w:bCs/>
                <w:sz w:val="28"/>
                <w:szCs w:val="28"/>
              </w:rPr>
            </w:pPr>
            <w:r>
              <w:rPr>
                <w:rFonts w:ascii="Times New Roman" w:hAnsi="Times New Roman" w:cs="Times New Roman"/>
                <w:b/>
                <w:bCs/>
                <w:sz w:val="28"/>
                <w:szCs w:val="28"/>
              </w:rPr>
              <w:t>Concern</w:t>
            </w:r>
          </w:p>
        </w:tc>
        <w:tc>
          <w:tcPr>
            <w:tcW w:w="1442" w:type="dxa"/>
            <w:tcBorders>
              <w:top w:val="single" w:sz="18" w:space="0" w:color="000000"/>
              <w:left w:val="single" w:sz="18" w:space="0" w:color="000000"/>
              <w:bottom w:val="single" w:sz="8" w:space="0" w:color="000000"/>
              <w:right w:val="single" w:sz="18" w:space="0" w:color="000000"/>
            </w:tcBorders>
            <w:vAlign w:val="center"/>
          </w:tcPr>
          <w:p w14:paraId="271F8D44" w14:textId="1BB6CE62" w:rsidR="009401B7" w:rsidRPr="00B01133" w:rsidRDefault="009401B7" w:rsidP="00560F3B">
            <w:pPr>
              <w:tabs>
                <w:tab w:val="center" w:pos="4680"/>
              </w:tabs>
              <w:spacing w:after="0"/>
              <w:jc w:val="both"/>
              <w:rPr>
                <w:rFonts w:ascii="Times New Roman" w:hAnsi="Times New Roman" w:cs="Times New Roman"/>
                <w:b/>
                <w:bCs/>
                <w:sz w:val="28"/>
                <w:szCs w:val="28"/>
              </w:rPr>
            </w:pPr>
            <w:r>
              <w:rPr>
                <w:rFonts w:ascii="Times New Roman" w:hAnsi="Times New Roman" w:cs="Times New Roman"/>
                <w:b/>
                <w:bCs/>
                <w:sz w:val="28"/>
                <w:szCs w:val="28"/>
              </w:rPr>
              <w:t>Severity</w:t>
            </w:r>
          </w:p>
        </w:tc>
      </w:tr>
      <w:tr w:rsidR="009401B7" w:rsidRPr="00B01133" w14:paraId="4D1FD0D2" w14:textId="77777777" w:rsidTr="00171745">
        <w:trPr>
          <w:trHeight w:val="1333"/>
        </w:trPr>
        <w:tc>
          <w:tcPr>
            <w:tcW w:w="250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4FD1D" w14:textId="77777777"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Muscle Relaxants and Antispasmodics</w:t>
            </w:r>
          </w:p>
        </w:tc>
        <w:tc>
          <w:tcPr>
            <w:tcW w:w="5048" w:type="dxa"/>
            <w:tcBorders>
              <w:top w:val="single" w:sz="8" w:space="0" w:color="000000"/>
              <w:left w:val="single" w:sz="18" w:space="0" w:color="000000"/>
              <w:bottom w:val="single" w:sz="8" w:space="0" w:color="000000"/>
              <w:right w:val="single" w:sz="8" w:space="0" w:color="000000"/>
            </w:tcBorders>
            <w:vAlign w:val="center"/>
          </w:tcPr>
          <w:p w14:paraId="2649CEBC" w14:textId="48563BAE"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Poorly tolerated by elderly since they have ADE such as anticholinergic effects, sedation and weakness</w:t>
            </w:r>
          </w:p>
        </w:tc>
        <w:tc>
          <w:tcPr>
            <w:tcW w:w="1442" w:type="dxa"/>
            <w:tcBorders>
              <w:top w:val="single" w:sz="8" w:space="0" w:color="000000"/>
              <w:left w:val="single" w:sz="18" w:space="0" w:color="000000"/>
              <w:bottom w:val="single" w:sz="8" w:space="0" w:color="000000"/>
              <w:right w:val="single" w:sz="18" w:space="0" w:color="000000"/>
            </w:tcBorders>
            <w:vAlign w:val="center"/>
          </w:tcPr>
          <w:p w14:paraId="788CD04B" w14:textId="77777777" w:rsidR="009401B7" w:rsidRPr="00B01133" w:rsidRDefault="009401B7" w:rsidP="00560F3B">
            <w:pPr>
              <w:tabs>
                <w:tab w:val="center" w:pos="4680"/>
              </w:tabs>
              <w:spacing w:after="0"/>
              <w:jc w:val="both"/>
              <w:rPr>
                <w:rFonts w:ascii="Times New Roman" w:hAnsi="Times New Roman" w:cs="Times New Roman"/>
                <w:bCs/>
                <w:szCs w:val="24"/>
              </w:rPr>
            </w:pPr>
            <w:r>
              <w:rPr>
                <w:rFonts w:ascii="Times New Roman" w:hAnsi="Times New Roman" w:cs="Times New Roman"/>
                <w:bCs/>
                <w:szCs w:val="24"/>
              </w:rPr>
              <w:t xml:space="preserve">  High</w:t>
            </w:r>
          </w:p>
        </w:tc>
      </w:tr>
      <w:tr w:rsidR="009401B7" w:rsidRPr="00B01133" w14:paraId="2FD15F43" w14:textId="77777777" w:rsidTr="00171745">
        <w:trPr>
          <w:trHeight w:val="1411"/>
        </w:trPr>
        <w:tc>
          <w:tcPr>
            <w:tcW w:w="250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9AE0A1" w14:textId="77777777"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Long acting BZD, diazepam</w:t>
            </w:r>
          </w:p>
        </w:tc>
        <w:tc>
          <w:tcPr>
            <w:tcW w:w="5048" w:type="dxa"/>
            <w:tcBorders>
              <w:top w:val="single" w:sz="8" w:space="0" w:color="000000"/>
              <w:left w:val="single" w:sz="18" w:space="0" w:color="000000"/>
              <w:bottom w:val="single" w:sz="8" w:space="0" w:color="000000"/>
              <w:right w:val="single" w:sz="8" w:space="0" w:color="000000"/>
            </w:tcBorders>
            <w:vAlign w:val="center"/>
          </w:tcPr>
          <w:p w14:paraId="7E812FF8" w14:textId="31901C34"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Prolonged sedation and increased risks of fall</w:t>
            </w:r>
            <w:r w:rsidR="003E03D4">
              <w:rPr>
                <w:rFonts w:ascii="Times New Roman" w:hAnsi="Times New Roman" w:cs="Times New Roman"/>
                <w:bCs/>
                <w:szCs w:val="24"/>
              </w:rPr>
              <w:t>.</w:t>
            </w:r>
          </w:p>
        </w:tc>
        <w:tc>
          <w:tcPr>
            <w:tcW w:w="1442" w:type="dxa"/>
            <w:tcBorders>
              <w:top w:val="single" w:sz="8" w:space="0" w:color="000000"/>
              <w:left w:val="single" w:sz="18" w:space="0" w:color="000000"/>
              <w:bottom w:val="single" w:sz="8" w:space="0" w:color="000000"/>
              <w:right w:val="single" w:sz="18" w:space="0" w:color="000000"/>
            </w:tcBorders>
            <w:vAlign w:val="center"/>
          </w:tcPr>
          <w:p w14:paraId="3D1A2A31" w14:textId="77777777" w:rsidR="009401B7" w:rsidRPr="00B01133" w:rsidRDefault="009401B7" w:rsidP="00560F3B">
            <w:pPr>
              <w:tabs>
                <w:tab w:val="center" w:pos="4680"/>
              </w:tabs>
              <w:spacing w:after="0"/>
              <w:jc w:val="both"/>
              <w:rPr>
                <w:rFonts w:ascii="Times New Roman" w:hAnsi="Times New Roman" w:cs="Times New Roman"/>
                <w:bCs/>
                <w:szCs w:val="24"/>
              </w:rPr>
            </w:pPr>
            <w:r>
              <w:rPr>
                <w:rFonts w:ascii="Times New Roman" w:hAnsi="Times New Roman" w:cs="Times New Roman"/>
                <w:bCs/>
                <w:szCs w:val="24"/>
              </w:rPr>
              <w:t xml:space="preserve">  High</w:t>
            </w:r>
          </w:p>
        </w:tc>
      </w:tr>
      <w:tr w:rsidR="009401B7" w:rsidRPr="00B01133" w14:paraId="44015D48" w14:textId="77777777" w:rsidTr="00056C9A">
        <w:trPr>
          <w:trHeight w:val="2941"/>
        </w:trPr>
        <w:tc>
          <w:tcPr>
            <w:tcW w:w="250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404F6E" w14:textId="77777777"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lastRenderedPageBreak/>
              <w:t>Anticholinergic &amp; Antihistamine (Phenergan, Avil Benedril, hydroxyzine)</w:t>
            </w:r>
          </w:p>
        </w:tc>
        <w:tc>
          <w:tcPr>
            <w:tcW w:w="5048" w:type="dxa"/>
            <w:tcBorders>
              <w:top w:val="single" w:sz="8" w:space="0" w:color="000000"/>
              <w:left w:val="single" w:sz="18" w:space="0" w:color="000000"/>
              <w:bottom w:val="single" w:sz="8" w:space="0" w:color="000000"/>
              <w:right w:val="single" w:sz="8" w:space="0" w:color="000000"/>
            </w:tcBorders>
            <w:vAlign w:val="center"/>
          </w:tcPr>
          <w:p w14:paraId="5433EA61" w14:textId="77777777"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All non-prescription and many prescription antihistamines have potent antichol</w:t>
            </w:r>
            <w:r>
              <w:rPr>
                <w:rFonts w:ascii="Times New Roman" w:hAnsi="Times New Roman" w:cs="Times New Roman"/>
                <w:bCs/>
                <w:szCs w:val="24"/>
              </w:rPr>
              <w:t>inergic effects, sedative effect</w:t>
            </w:r>
            <w:r w:rsidRPr="00B01133">
              <w:rPr>
                <w:rFonts w:ascii="Times New Roman" w:hAnsi="Times New Roman" w:cs="Times New Roman"/>
                <w:bCs/>
                <w:szCs w:val="24"/>
              </w:rPr>
              <w:t>s, cognitive impairment non-anticholinergic antihistamines are preferred</w:t>
            </w:r>
          </w:p>
          <w:p w14:paraId="66B366A6" w14:textId="77777777" w:rsidR="009401B7" w:rsidRPr="00B01133" w:rsidRDefault="009401B7" w:rsidP="00560F3B">
            <w:pPr>
              <w:tabs>
                <w:tab w:val="center" w:pos="4680"/>
              </w:tabs>
              <w:spacing w:after="0"/>
              <w:jc w:val="both"/>
              <w:rPr>
                <w:rFonts w:ascii="Times New Roman" w:hAnsi="Times New Roman" w:cs="Times New Roman"/>
                <w:bCs/>
                <w:szCs w:val="24"/>
              </w:rPr>
            </w:pPr>
          </w:p>
        </w:tc>
        <w:tc>
          <w:tcPr>
            <w:tcW w:w="1442" w:type="dxa"/>
            <w:tcBorders>
              <w:top w:val="single" w:sz="8" w:space="0" w:color="000000"/>
              <w:left w:val="single" w:sz="18" w:space="0" w:color="000000"/>
              <w:bottom w:val="single" w:sz="8" w:space="0" w:color="000000"/>
              <w:right w:val="single" w:sz="18" w:space="0" w:color="000000"/>
            </w:tcBorders>
            <w:vAlign w:val="center"/>
          </w:tcPr>
          <w:p w14:paraId="0B75DF3A" w14:textId="77777777" w:rsidR="009401B7" w:rsidRPr="00B01133" w:rsidRDefault="009401B7" w:rsidP="00560F3B">
            <w:pPr>
              <w:tabs>
                <w:tab w:val="center" w:pos="4680"/>
              </w:tabs>
              <w:spacing w:after="0"/>
              <w:jc w:val="both"/>
              <w:rPr>
                <w:rFonts w:ascii="Times New Roman" w:hAnsi="Times New Roman" w:cs="Times New Roman"/>
                <w:bCs/>
                <w:szCs w:val="24"/>
              </w:rPr>
            </w:pPr>
            <w:r>
              <w:rPr>
                <w:rFonts w:ascii="Times New Roman" w:hAnsi="Times New Roman" w:cs="Times New Roman"/>
                <w:bCs/>
                <w:szCs w:val="24"/>
              </w:rPr>
              <w:t xml:space="preserve">  High</w:t>
            </w:r>
          </w:p>
        </w:tc>
      </w:tr>
      <w:tr w:rsidR="009401B7" w:rsidRPr="00B01133" w14:paraId="71B90FC1" w14:textId="77777777" w:rsidTr="00056C9A">
        <w:trPr>
          <w:trHeight w:val="428"/>
        </w:trPr>
        <w:tc>
          <w:tcPr>
            <w:tcW w:w="250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646941" w14:textId="77777777"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Digoxin</w:t>
            </w:r>
          </w:p>
          <w:p w14:paraId="3E268AC6" w14:textId="77777777" w:rsidR="009401B7" w:rsidRPr="00B01133" w:rsidRDefault="009401B7" w:rsidP="00560F3B">
            <w:pPr>
              <w:tabs>
                <w:tab w:val="center" w:pos="4680"/>
              </w:tabs>
              <w:spacing w:after="0"/>
              <w:jc w:val="both"/>
              <w:rPr>
                <w:rFonts w:ascii="Times New Roman" w:hAnsi="Times New Roman" w:cs="Times New Roman"/>
                <w:bCs/>
                <w:szCs w:val="24"/>
              </w:rPr>
            </w:pPr>
          </w:p>
        </w:tc>
        <w:tc>
          <w:tcPr>
            <w:tcW w:w="5048" w:type="dxa"/>
            <w:tcBorders>
              <w:top w:val="single" w:sz="8" w:space="0" w:color="000000"/>
              <w:left w:val="single" w:sz="18" w:space="0" w:color="000000"/>
              <w:bottom w:val="single" w:sz="4" w:space="0" w:color="000000"/>
              <w:right w:val="single" w:sz="8" w:space="0" w:color="000000"/>
            </w:tcBorders>
            <w:vAlign w:val="center"/>
          </w:tcPr>
          <w:p w14:paraId="018FEA72" w14:textId="6D0D8235" w:rsidR="009401B7" w:rsidRPr="003E03D4" w:rsidRDefault="009401B7" w:rsidP="00560F3B">
            <w:pPr>
              <w:tabs>
                <w:tab w:val="center" w:pos="4680"/>
              </w:tabs>
              <w:spacing w:after="0"/>
              <w:jc w:val="both"/>
              <w:rPr>
                <w:bCs/>
              </w:rPr>
            </w:pPr>
            <w:r w:rsidRPr="00B01133">
              <w:rPr>
                <w:bCs/>
              </w:rPr>
              <w:t>Decrease renal clearance leads to toxic effects</w:t>
            </w:r>
          </w:p>
        </w:tc>
        <w:tc>
          <w:tcPr>
            <w:tcW w:w="1442" w:type="dxa"/>
            <w:tcBorders>
              <w:top w:val="single" w:sz="8" w:space="0" w:color="000000"/>
              <w:left w:val="single" w:sz="18" w:space="0" w:color="000000"/>
              <w:bottom w:val="single" w:sz="8" w:space="0" w:color="000000"/>
              <w:right w:val="single" w:sz="18" w:space="0" w:color="000000"/>
            </w:tcBorders>
            <w:vAlign w:val="center"/>
          </w:tcPr>
          <w:p w14:paraId="0921D36F" w14:textId="77777777" w:rsidR="009401B7" w:rsidRDefault="009401B7" w:rsidP="00560F3B">
            <w:pPr>
              <w:tabs>
                <w:tab w:val="center" w:pos="4680"/>
              </w:tabs>
              <w:spacing w:after="0"/>
              <w:jc w:val="both"/>
              <w:rPr>
                <w:rFonts w:ascii="Times New Roman" w:hAnsi="Times New Roman" w:cs="Times New Roman"/>
                <w:bCs/>
                <w:szCs w:val="24"/>
              </w:rPr>
            </w:pPr>
            <w:r>
              <w:rPr>
                <w:rFonts w:ascii="Times New Roman" w:hAnsi="Times New Roman" w:cs="Times New Roman"/>
                <w:bCs/>
                <w:szCs w:val="24"/>
              </w:rPr>
              <w:t xml:space="preserve">  Low</w:t>
            </w:r>
          </w:p>
        </w:tc>
      </w:tr>
      <w:tr w:rsidR="009401B7" w:rsidRPr="00B01133" w14:paraId="5D927067" w14:textId="77777777" w:rsidTr="00056C9A">
        <w:trPr>
          <w:trHeight w:val="723"/>
        </w:trPr>
        <w:tc>
          <w:tcPr>
            <w:tcW w:w="250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DF9456E" w14:textId="21B31957"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Doxazocin</w:t>
            </w:r>
          </w:p>
        </w:tc>
        <w:tc>
          <w:tcPr>
            <w:tcW w:w="5048" w:type="dxa"/>
            <w:tcBorders>
              <w:top w:val="single" w:sz="4" w:space="0" w:color="000000"/>
              <w:left w:val="single" w:sz="18" w:space="0" w:color="000000"/>
              <w:bottom w:val="single" w:sz="8" w:space="0" w:color="000000"/>
              <w:right w:val="single" w:sz="8" w:space="0" w:color="000000"/>
            </w:tcBorders>
            <w:vAlign w:val="center"/>
          </w:tcPr>
          <w:p w14:paraId="0AD1BB62" w14:textId="3A490C96" w:rsidR="009401B7" w:rsidRPr="00B01133" w:rsidRDefault="009401B7" w:rsidP="00560F3B">
            <w:pPr>
              <w:tabs>
                <w:tab w:val="center" w:pos="4680"/>
              </w:tabs>
              <w:spacing w:after="0"/>
              <w:jc w:val="both"/>
              <w:rPr>
                <w:rFonts w:ascii="Times New Roman" w:hAnsi="Times New Roman" w:cs="Times New Roman"/>
                <w:bCs/>
                <w:szCs w:val="24"/>
              </w:rPr>
            </w:pPr>
            <w:r w:rsidRPr="00B01133">
              <w:rPr>
                <w:rFonts w:ascii="Times New Roman" w:hAnsi="Times New Roman" w:cs="Times New Roman"/>
                <w:bCs/>
                <w:szCs w:val="24"/>
              </w:rPr>
              <w:t>Hypotension, Dry mouth, urinary problems</w:t>
            </w:r>
          </w:p>
        </w:tc>
        <w:tc>
          <w:tcPr>
            <w:tcW w:w="1442" w:type="dxa"/>
            <w:tcBorders>
              <w:top w:val="single" w:sz="8" w:space="0" w:color="000000"/>
              <w:left w:val="single" w:sz="18" w:space="0" w:color="000000"/>
              <w:bottom w:val="single" w:sz="8" w:space="0" w:color="000000"/>
              <w:right w:val="single" w:sz="18" w:space="0" w:color="000000"/>
            </w:tcBorders>
            <w:vAlign w:val="center"/>
          </w:tcPr>
          <w:p w14:paraId="2B0E45A4" w14:textId="77777777" w:rsidR="009401B7" w:rsidRDefault="009401B7" w:rsidP="00560F3B">
            <w:pPr>
              <w:tabs>
                <w:tab w:val="center" w:pos="4680"/>
              </w:tabs>
              <w:spacing w:after="0"/>
              <w:jc w:val="both"/>
              <w:rPr>
                <w:rFonts w:ascii="Times New Roman" w:hAnsi="Times New Roman" w:cs="Times New Roman"/>
                <w:bCs/>
                <w:szCs w:val="24"/>
              </w:rPr>
            </w:pPr>
            <w:r>
              <w:rPr>
                <w:rFonts w:ascii="Times New Roman" w:hAnsi="Times New Roman" w:cs="Times New Roman"/>
                <w:bCs/>
                <w:szCs w:val="24"/>
              </w:rPr>
              <w:t xml:space="preserve"> Low</w:t>
            </w:r>
          </w:p>
        </w:tc>
      </w:tr>
      <w:tr w:rsidR="009401B7" w:rsidRPr="00B01133" w14:paraId="5F46F3CF" w14:textId="77777777" w:rsidTr="00171745">
        <w:trPr>
          <w:trHeight w:val="475"/>
        </w:trPr>
        <w:tc>
          <w:tcPr>
            <w:tcW w:w="250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vAlign w:val="center"/>
          </w:tcPr>
          <w:p w14:paraId="50947455" w14:textId="2575B0A3" w:rsidR="009401B7" w:rsidRPr="00B01133" w:rsidRDefault="009401B7" w:rsidP="00560F3B">
            <w:pPr>
              <w:tabs>
                <w:tab w:val="center" w:pos="4680"/>
              </w:tabs>
              <w:spacing w:after="0"/>
              <w:jc w:val="both"/>
              <w:rPr>
                <w:rFonts w:ascii="Times New Roman" w:hAnsi="Times New Roman" w:cs="Times New Roman"/>
                <w:bCs/>
                <w:szCs w:val="24"/>
              </w:rPr>
            </w:pPr>
            <w:r w:rsidRPr="001D0427">
              <w:rPr>
                <w:rFonts w:ascii="Times New Roman" w:hAnsi="Times New Roman" w:cs="Times New Roman"/>
                <w:bCs/>
                <w:szCs w:val="24"/>
              </w:rPr>
              <w:t>Cimetidine</w:t>
            </w:r>
          </w:p>
        </w:tc>
        <w:tc>
          <w:tcPr>
            <w:tcW w:w="5048" w:type="dxa"/>
            <w:tcBorders>
              <w:top w:val="single" w:sz="8" w:space="0" w:color="000000"/>
              <w:left w:val="single" w:sz="18" w:space="0" w:color="000000"/>
              <w:bottom w:val="single" w:sz="18" w:space="0" w:color="000000"/>
              <w:right w:val="single" w:sz="8" w:space="0" w:color="000000"/>
            </w:tcBorders>
            <w:vAlign w:val="center"/>
          </w:tcPr>
          <w:p w14:paraId="292D3F0E" w14:textId="2F062D2A" w:rsidR="009401B7" w:rsidRPr="00B01133" w:rsidRDefault="009401B7" w:rsidP="00560F3B">
            <w:pPr>
              <w:tabs>
                <w:tab w:val="center" w:pos="4680"/>
              </w:tabs>
              <w:spacing w:after="0"/>
              <w:jc w:val="both"/>
              <w:rPr>
                <w:rFonts w:ascii="Times New Roman" w:hAnsi="Times New Roman" w:cs="Times New Roman"/>
                <w:bCs/>
                <w:szCs w:val="24"/>
              </w:rPr>
            </w:pPr>
            <w:r w:rsidRPr="001D0427">
              <w:rPr>
                <w:rFonts w:ascii="Times New Roman" w:hAnsi="Times New Roman" w:cs="Times New Roman"/>
                <w:bCs/>
                <w:szCs w:val="24"/>
              </w:rPr>
              <w:t>CNS adverse effects including confusion</w:t>
            </w:r>
          </w:p>
        </w:tc>
        <w:tc>
          <w:tcPr>
            <w:tcW w:w="1442" w:type="dxa"/>
            <w:tcBorders>
              <w:top w:val="single" w:sz="8" w:space="0" w:color="000000"/>
              <w:left w:val="single" w:sz="18" w:space="0" w:color="000000"/>
              <w:bottom w:val="single" w:sz="18" w:space="0" w:color="000000"/>
              <w:right w:val="single" w:sz="18" w:space="0" w:color="000000"/>
            </w:tcBorders>
            <w:vAlign w:val="center"/>
          </w:tcPr>
          <w:p w14:paraId="47D8B28F" w14:textId="77777777" w:rsidR="009401B7" w:rsidRDefault="009401B7" w:rsidP="00560F3B">
            <w:pPr>
              <w:tabs>
                <w:tab w:val="center" w:pos="4680"/>
              </w:tabs>
              <w:spacing w:after="0"/>
              <w:jc w:val="both"/>
              <w:rPr>
                <w:rFonts w:ascii="Times New Roman" w:hAnsi="Times New Roman" w:cs="Times New Roman"/>
                <w:bCs/>
                <w:szCs w:val="24"/>
              </w:rPr>
            </w:pPr>
            <w:r>
              <w:rPr>
                <w:rFonts w:ascii="Times New Roman" w:hAnsi="Times New Roman" w:cs="Times New Roman"/>
                <w:bCs/>
                <w:szCs w:val="24"/>
              </w:rPr>
              <w:t xml:space="preserve"> Low</w:t>
            </w:r>
          </w:p>
        </w:tc>
      </w:tr>
    </w:tbl>
    <w:p w14:paraId="3A003A05" w14:textId="77777777" w:rsidR="009401B7" w:rsidRPr="00964EC3" w:rsidRDefault="009401B7" w:rsidP="00560F3B">
      <w:pPr>
        <w:pStyle w:val="Heading2"/>
        <w:framePr w:wrap="around"/>
        <w:jc w:val="both"/>
      </w:pPr>
      <w:r w:rsidRPr="00964EC3">
        <w:t>Principles of Prescribing in the Elderly:</w:t>
      </w:r>
    </w:p>
    <w:p w14:paraId="557E834C" w14:textId="77777777" w:rsidR="003E03D4" w:rsidRDefault="009401B7" w:rsidP="00560F3B">
      <w:pPr>
        <w:tabs>
          <w:tab w:val="center" w:pos="4680"/>
        </w:tabs>
        <w:jc w:val="both"/>
        <w:rPr>
          <w:rFonts w:ascii="Times New Roman" w:hAnsi="Times New Roman" w:cs="Times New Roman"/>
          <w:bCs/>
          <w:sz w:val="28"/>
          <w:szCs w:val="28"/>
        </w:rPr>
      </w:pPr>
      <w:r>
        <w:rPr>
          <w:rFonts w:ascii="Times New Roman" w:hAnsi="Times New Roman" w:cs="Times New Roman"/>
          <w:bCs/>
          <w:sz w:val="28"/>
          <w:szCs w:val="28"/>
        </w:rPr>
        <w:t xml:space="preserve">                </w:t>
      </w:r>
    </w:p>
    <w:p w14:paraId="35BEB1A7" w14:textId="717FE41B" w:rsidR="009401B7" w:rsidRPr="008224AF" w:rsidRDefault="009401B7" w:rsidP="00560F3B">
      <w:pPr>
        <w:jc w:val="both"/>
      </w:pPr>
      <w:r w:rsidRPr="008224AF">
        <w:t>Following are the steps of prescribing in elderly patients:</w:t>
      </w:r>
    </w:p>
    <w:p w14:paraId="6FB2135B" w14:textId="77777777" w:rsidR="009401B7" w:rsidRPr="001D0427" w:rsidRDefault="009401B7" w:rsidP="00560F3B">
      <w:pPr>
        <w:pStyle w:val="ListParagraph"/>
        <w:framePr w:wrap="around"/>
        <w:numPr>
          <w:ilvl w:val="0"/>
          <w:numId w:val="4"/>
        </w:numPr>
        <w:jc w:val="both"/>
      </w:pPr>
      <w:r w:rsidRPr="001D0427">
        <w:t>Avoid prescribing prior to diagnosis</w:t>
      </w:r>
    </w:p>
    <w:p w14:paraId="1D9D7309" w14:textId="77777777" w:rsidR="009401B7" w:rsidRPr="001D0427" w:rsidRDefault="009401B7" w:rsidP="00560F3B">
      <w:pPr>
        <w:pStyle w:val="ListParagraph"/>
        <w:framePr w:wrap="around"/>
        <w:numPr>
          <w:ilvl w:val="0"/>
          <w:numId w:val="4"/>
        </w:numPr>
        <w:jc w:val="both"/>
      </w:pPr>
      <w:r w:rsidRPr="001D0427">
        <w:t>Follow Beers Criteria</w:t>
      </w:r>
    </w:p>
    <w:p w14:paraId="3C52E62E" w14:textId="77777777" w:rsidR="009401B7" w:rsidRPr="001D0427" w:rsidRDefault="009401B7" w:rsidP="00560F3B">
      <w:pPr>
        <w:pStyle w:val="ListParagraph"/>
        <w:framePr w:wrap="around"/>
        <w:numPr>
          <w:ilvl w:val="0"/>
          <w:numId w:val="4"/>
        </w:numPr>
        <w:jc w:val="both"/>
      </w:pPr>
      <w:r w:rsidRPr="001D0427">
        <w:t>Start with a low dose and titrate slowly</w:t>
      </w:r>
    </w:p>
    <w:p w14:paraId="5355383E" w14:textId="77777777" w:rsidR="009401B7" w:rsidRPr="001D0427" w:rsidRDefault="009401B7" w:rsidP="00560F3B">
      <w:pPr>
        <w:pStyle w:val="ListParagraph"/>
        <w:framePr w:wrap="around"/>
        <w:numPr>
          <w:ilvl w:val="0"/>
          <w:numId w:val="4"/>
        </w:numPr>
        <w:jc w:val="both"/>
      </w:pPr>
      <w:r w:rsidRPr="001D0427">
        <w:t>Avoid starting 2 agents at the same time</w:t>
      </w:r>
    </w:p>
    <w:p w14:paraId="075B91F2" w14:textId="77777777" w:rsidR="009401B7" w:rsidRPr="001D0427" w:rsidRDefault="009401B7" w:rsidP="00560F3B">
      <w:pPr>
        <w:pStyle w:val="ListParagraph"/>
        <w:framePr w:wrap="around"/>
        <w:numPr>
          <w:ilvl w:val="0"/>
          <w:numId w:val="4"/>
        </w:numPr>
        <w:jc w:val="both"/>
      </w:pPr>
      <w:r w:rsidRPr="001D0427">
        <w:t>Reach therapeutic dose before switching or adding agents</w:t>
      </w:r>
    </w:p>
    <w:p w14:paraId="5113FB67" w14:textId="56B26182" w:rsidR="009401B7" w:rsidRPr="003E03D4" w:rsidRDefault="009401B7" w:rsidP="00560F3B">
      <w:pPr>
        <w:pStyle w:val="ListParagraph"/>
        <w:framePr w:wrap="around"/>
        <w:numPr>
          <w:ilvl w:val="0"/>
          <w:numId w:val="4"/>
        </w:numPr>
        <w:jc w:val="both"/>
      </w:pPr>
      <w:r w:rsidRPr="001D0427">
        <w:t>Consider non-pharmacologic agents</w:t>
      </w:r>
    </w:p>
    <w:p w14:paraId="58208BE5" w14:textId="373C612B" w:rsidR="009401B7" w:rsidRDefault="009401B7" w:rsidP="00560F3B">
      <w:pPr>
        <w:pStyle w:val="Heading2"/>
        <w:framePr w:wrap="around"/>
        <w:jc w:val="both"/>
      </w:pPr>
      <w:r w:rsidRPr="00964EC3">
        <w:t>Prescribing Appropriately</w:t>
      </w:r>
      <w:r>
        <w:t>:</w:t>
      </w:r>
    </w:p>
    <w:p w14:paraId="6876E9CF" w14:textId="77777777" w:rsidR="009401B7" w:rsidRPr="008224AF" w:rsidRDefault="009401B7" w:rsidP="00560F3B">
      <w:pPr>
        <w:jc w:val="both"/>
        <w:rPr>
          <w:b/>
          <w:sz w:val="32"/>
          <w:szCs w:val="32"/>
        </w:rPr>
      </w:pPr>
      <w:r>
        <w:rPr>
          <w:b/>
          <w:sz w:val="32"/>
          <w:szCs w:val="32"/>
        </w:rPr>
        <w:t xml:space="preserve">     </w:t>
      </w:r>
      <w:r w:rsidRPr="001D0427">
        <w:rPr>
          <w:b/>
          <w:sz w:val="32"/>
          <w:szCs w:val="32"/>
        </w:rPr>
        <w:t xml:space="preserve">  </w:t>
      </w:r>
      <w:r w:rsidRPr="001D0427">
        <w:t>Consider risk vs. benefit</w:t>
      </w:r>
      <w:r>
        <w:t>, a</w:t>
      </w:r>
      <w:r w:rsidRPr="001D0427">
        <w:t>void prescribing to treat side effect of another drug</w:t>
      </w:r>
      <w:r>
        <w:t>, c</w:t>
      </w:r>
      <w:r w:rsidRPr="001D0427">
        <w:t>onsider drug-drug and drug-disease interactions</w:t>
      </w:r>
      <w:r>
        <w:t>, us</w:t>
      </w:r>
      <w:r w:rsidRPr="001D0427">
        <w:t>e simplest regimen possible avoiding poly pharmacy</w:t>
      </w:r>
      <w:r>
        <w:t>, a</w:t>
      </w:r>
      <w:r w:rsidRPr="001D0427">
        <w:t>djust doses for renal and hepatic impairment</w:t>
      </w:r>
      <w:r>
        <w:t>, us</w:t>
      </w:r>
      <w:r w:rsidRPr="001D0427">
        <w:t>e least expensive alternative</w:t>
      </w:r>
      <w:r>
        <w:t>.</w:t>
      </w:r>
    </w:p>
    <w:p w14:paraId="275CD88F" w14:textId="14539212" w:rsidR="009401B7" w:rsidRPr="00964EC3" w:rsidRDefault="009401B7" w:rsidP="00560F3B">
      <w:pPr>
        <w:pStyle w:val="Heading2"/>
        <w:framePr w:wrap="around"/>
        <w:jc w:val="both"/>
      </w:pPr>
      <w:r w:rsidRPr="00964EC3">
        <w:t>Enhancing Medication Adherence:</w:t>
      </w:r>
    </w:p>
    <w:p w14:paraId="7D7F1BE7" w14:textId="77777777" w:rsidR="003E03D4" w:rsidRDefault="009401B7" w:rsidP="00560F3B">
      <w:pPr>
        <w:pStyle w:val="ListParagraph"/>
        <w:framePr w:wrap="auto" w:vAnchor="margin" w:yAlign="inline"/>
        <w:tabs>
          <w:tab w:val="center" w:pos="4680"/>
        </w:tabs>
        <w:ind w:left="1155"/>
        <w:jc w:val="both"/>
        <w:rPr>
          <w:rFonts w:ascii="Times New Roman" w:hAnsi="Times New Roman" w:cs="Times New Roman"/>
          <w:b/>
          <w:bCs/>
          <w:sz w:val="32"/>
          <w:szCs w:val="32"/>
        </w:rPr>
      </w:pPr>
      <w:r>
        <w:rPr>
          <w:rFonts w:ascii="Times New Roman" w:hAnsi="Times New Roman" w:cs="Times New Roman"/>
          <w:b/>
          <w:bCs/>
          <w:sz w:val="32"/>
          <w:szCs w:val="32"/>
        </w:rPr>
        <w:t xml:space="preserve">        </w:t>
      </w:r>
    </w:p>
    <w:p w14:paraId="2FECB8E5" w14:textId="39A34F0F" w:rsidR="009401B7" w:rsidRDefault="009401B7" w:rsidP="00560F3B">
      <w:pPr>
        <w:jc w:val="both"/>
      </w:pPr>
      <w:r w:rsidRPr="004C1F03">
        <w:t>Non-adherence rate may be as high as 50% in the elderly</w:t>
      </w:r>
      <w:r>
        <w:t>, a</w:t>
      </w:r>
      <w:r w:rsidRPr="004C1F03">
        <w:t>void newer, more expensive medications</w:t>
      </w:r>
      <w:r>
        <w:t>, s</w:t>
      </w:r>
      <w:r w:rsidRPr="004C1F03">
        <w:t>implify the regimen</w:t>
      </w:r>
      <w:r>
        <w:t>, e</w:t>
      </w:r>
      <w:r w:rsidRPr="004C1F03">
        <w:t>ducate patient on medication purpose, benefits, safety, and potential ADEs</w:t>
      </w:r>
      <w:r>
        <w:t>.</w:t>
      </w:r>
    </w:p>
    <w:p w14:paraId="17B3F7E5" w14:textId="0A82BC69" w:rsidR="009401B7" w:rsidRPr="00964EC3" w:rsidRDefault="009401B7" w:rsidP="00560F3B">
      <w:pPr>
        <w:pStyle w:val="Heading2"/>
        <w:framePr w:wrap="around"/>
        <w:jc w:val="both"/>
      </w:pPr>
      <w:r w:rsidRPr="00964EC3">
        <w:t>Summary:</w:t>
      </w:r>
    </w:p>
    <w:p w14:paraId="400E954F" w14:textId="77777777" w:rsidR="003E03D4" w:rsidRDefault="009401B7" w:rsidP="00560F3B">
      <w:pPr>
        <w:pStyle w:val="ListParagraph"/>
        <w:framePr w:wrap="auto" w:vAnchor="margin" w:yAlign="inline"/>
        <w:tabs>
          <w:tab w:val="center" w:pos="4680"/>
        </w:tabs>
        <w:ind w:left="1155"/>
        <w:jc w:val="both"/>
        <w:rPr>
          <w:rFonts w:ascii="Times New Roman" w:hAnsi="Times New Roman" w:cs="Times New Roman"/>
          <w:b/>
          <w:bCs/>
          <w:sz w:val="32"/>
          <w:szCs w:val="32"/>
        </w:rPr>
      </w:pPr>
      <w:r>
        <w:rPr>
          <w:rFonts w:ascii="Times New Roman" w:hAnsi="Times New Roman" w:cs="Times New Roman"/>
          <w:b/>
          <w:bCs/>
          <w:sz w:val="32"/>
          <w:szCs w:val="32"/>
        </w:rPr>
        <w:t xml:space="preserve">   </w:t>
      </w:r>
    </w:p>
    <w:p w14:paraId="6E39C2A9" w14:textId="529F3059" w:rsidR="009401B7" w:rsidRPr="004C1F03" w:rsidRDefault="009401B7" w:rsidP="00560F3B">
      <w:pPr>
        <w:jc w:val="both"/>
      </w:pPr>
      <w:r>
        <w:t>Following are the main points of drug dosing in elderly patients:</w:t>
      </w:r>
    </w:p>
    <w:p w14:paraId="38EDCF9F" w14:textId="77777777" w:rsidR="009401B7" w:rsidRPr="004C1F03" w:rsidRDefault="009401B7" w:rsidP="00560F3B">
      <w:pPr>
        <w:pStyle w:val="ListParagraph"/>
        <w:framePr w:wrap="around"/>
        <w:numPr>
          <w:ilvl w:val="0"/>
          <w:numId w:val="5"/>
        </w:numPr>
        <w:jc w:val="both"/>
      </w:pPr>
      <w:r w:rsidRPr="004C1F03">
        <w:lastRenderedPageBreak/>
        <w:t>Successful pharmacotherapy means using the correct drug at the correct dose for the correct indication in an individual patient</w:t>
      </w:r>
    </w:p>
    <w:p w14:paraId="1642D4EA" w14:textId="77777777" w:rsidR="009401B7" w:rsidRPr="004C1F03" w:rsidRDefault="009401B7" w:rsidP="00560F3B">
      <w:pPr>
        <w:pStyle w:val="ListParagraph"/>
        <w:framePr w:wrap="around"/>
        <w:numPr>
          <w:ilvl w:val="0"/>
          <w:numId w:val="5"/>
        </w:numPr>
        <w:jc w:val="both"/>
      </w:pPr>
      <w:r w:rsidRPr="004C1F03">
        <w:t>Age alters PK and PD</w:t>
      </w:r>
    </w:p>
    <w:p w14:paraId="1CEED9CB" w14:textId="77777777" w:rsidR="009401B7" w:rsidRPr="004C1F03" w:rsidRDefault="009401B7" w:rsidP="00560F3B">
      <w:pPr>
        <w:pStyle w:val="ListParagraph"/>
        <w:framePr w:wrap="around"/>
        <w:numPr>
          <w:ilvl w:val="0"/>
          <w:numId w:val="5"/>
        </w:numPr>
        <w:jc w:val="both"/>
      </w:pPr>
      <w:r w:rsidRPr="004C1F03">
        <w:t>Renal &amp; hepatic dosage adjustment required</w:t>
      </w:r>
    </w:p>
    <w:p w14:paraId="122610D9" w14:textId="77777777" w:rsidR="009401B7" w:rsidRPr="004C1F03" w:rsidRDefault="009401B7" w:rsidP="00560F3B">
      <w:pPr>
        <w:pStyle w:val="ListParagraph"/>
        <w:framePr w:wrap="around"/>
        <w:numPr>
          <w:ilvl w:val="0"/>
          <w:numId w:val="5"/>
        </w:numPr>
        <w:jc w:val="both"/>
      </w:pPr>
      <w:r w:rsidRPr="004C1F03">
        <w:t>Polypharmacy &amp; drug-drug interaction should be avoided</w:t>
      </w:r>
    </w:p>
    <w:p w14:paraId="59610EFA" w14:textId="77777777" w:rsidR="009401B7" w:rsidRPr="004C1F03" w:rsidRDefault="009401B7" w:rsidP="00560F3B">
      <w:pPr>
        <w:pStyle w:val="ListParagraph"/>
        <w:framePr w:wrap="around"/>
        <w:numPr>
          <w:ilvl w:val="0"/>
          <w:numId w:val="5"/>
        </w:numPr>
        <w:jc w:val="both"/>
      </w:pPr>
      <w:r w:rsidRPr="004C1F03">
        <w:t>ADEs are common &amp; preventable among the elderly</w:t>
      </w:r>
    </w:p>
    <w:p w14:paraId="1B16C099" w14:textId="3E11926A" w:rsidR="009401B7" w:rsidRPr="003E03D4" w:rsidRDefault="009401B7" w:rsidP="00D84A4D">
      <w:pPr>
        <w:pStyle w:val="Heading1"/>
        <w:framePr w:wrap="around"/>
      </w:pPr>
      <w:r w:rsidRPr="003E03D4">
        <w:t xml:space="preserve">Drug Dosing in Obese </w:t>
      </w:r>
      <w:r w:rsidR="00F270F4">
        <w:t>P</w:t>
      </w:r>
      <w:r w:rsidRPr="003E03D4">
        <w:t>atients</w:t>
      </w:r>
    </w:p>
    <w:p w14:paraId="14AB09C9" w14:textId="0A4BCAAF" w:rsidR="009401B7" w:rsidRPr="00964EC3" w:rsidRDefault="009401B7" w:rsidP="00560F3B">
      <w:pPr>
        <w:pStyle w:val="Heading2"/>
        <w:framePr w:wrap="around"/>
        <w:jc w:val="both"/>
      </w:pPr>
      <w:r w:rsidRPr="00964EC3">
        <w:t>Definition:</w:t>
      </w:r>
    </w:p>
    <w:p w14:paraId="066CBCC8" w14:textId="3EBB0656" w:rsidR="003E03D4" w:rsidRDefault="009401B7" w:rsidP="00560F3B">
      <w:pPr>
        <w:jc w:val="both"/>
        <w:rPr>
          <w:noProof/>
        </w:rPr>
      </w:pPr>
      <w:r w:rsidRPr="004C1F03">
        <w:t>Obesity, defined as body mass index (BMI) of 30 or higher, has been recognized as a “disease” in 2013 by the American Medical Association, requiring a range of medical interventions to advance treatment and pr</w:t>
      </w:r>
      <w:r w:rsidR="003E03D4">
        <w:rPr>
          <w:noProof/>
        </w:rPr>
        <w:t>evention.</w:t>
      </w:r>
    </w:p>
    <w:p w14:paraId="3F2B84BA" w14:textId="4C0F3558" w:rsidR="003E03D4" w:rsidRDefault="003E03D4" w:rsidP="00560F3B">
      <w:pPr>
        <w:pStyle w:val="Heading2"/>
        <w:framePr w:wrap="auto" w:vAnchor="margin" w:yAlign="inline"/>
        <w:jc w:val="both"/>
      </w:pPr>
      <w:r>
        <w:rPr>
          <w:noProof/>
        </w:rPr>
        <w:drawing>
          <wp:anchor distT="0" distB="0" distL="114300" distR="114300" simplePos="0" relativeHeight="251660288" behindDoc="0" locked="0" layoutInCell="1" allowOverlap="1" wp14:anchorId="696D0298" wp14:editId="64DEA28F">
            <wp:simplePos x="0" y="0"/>
            <wp:positionH relativeFrom="margin">
              <wp:posOffset>314325</wp:posOffset>
            </wp:positionH>
            <wp:positionV relativeFrom="paragraph">
              <wp:posOffset>276225</wp:posOffset>
            </wp:positionV>
            <wp:extent cx="5107940" cy="2186940"/>
            <wp:effectExtent l="0" t="0" r="0" b="3810"/>
            <wp:wrapTopAndBottom/>
            <wp:docPr id="54275"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4275" name="Picture 4"/>
                    <pic:cNvPicPr>
                      <a:picLocks noGrp="1"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7940" cy="2186940"/>
                    </a:xfrm>
                    <a:prstGeom prst="rect">
                      <a:avLst/>
                    </a:prstGeom>
                    <a:noFill/>
                    <a:ln>
                      <a:noFill/>
                    </a:ln>
                  </pic:spPr>
                </pic:pic>
              </a:graphicData>
            </a:graphic>
          </wp:anchor>
        </w:drawing>
      </w:r>
      <w:r w:rsidRPr="00964EC3">
        <w:t>Classification:</w:t>
      </w:r>
    </w:p>
    <w:p w14:paraId="7E7E524C" w14:textId="77777777" w:rsidR="003E03D4" w:rsidRPr="003E03D4" w:rsidRDefault="003E03D4" w:rsidP="00560F3B">
      <w:pPr>
        <w:jc w:val="both"/>
      </w:pPr>
    </w:p>
    <w:p w14:paraId="68445C87" w14:textId="77777777" w:rsidR="003E03D4" w:rsidRPr="00964EC3" w:rsidRDefault="003E03D4" w:rsidP="00560F3B">
      <w:pPr>
        <w:pStyle w:val="Heading2"/>
        <w:framePr w:wrap="around"/>
        <w:spacing w:before="0"/>
        <w:jc w:val="both"/>
      </w:pPr>
      <w:r w:rsidRPr="00964EC3">
        <w:t>Dosing Considerations in the Obese Patients:</w:t>
      </w:r>
    </w:p>
    <w:p w14:paraId="219E86A7" w14:textId="77777777" w:rsidR="003E03D4" w:rsidRDefault="003E03D4" w:rsidP="00560F3B">
      <w:pPr>
        <w:pStyle w:val="ListParagraph"/>
        <w:framePr w:wrap="auto" w:vAnchor="margin" w:yAlign="inline"/>
        <w:tabs>
          <w:tab w:val="center" w:pos="4680"/>
        </w:tabs>
        <w:jc w:val="both"/>
        <w:rPr>
          <w:rFonts w:ascii="Times New Roman" w:hAnsi="Times New Roman" w:cs="Times New Roman"/>
          <w:bCs/>
          <w:sz w:val="28"/>
          <w:szCs w:val="28"/>
        </w:rPr>
      </w:pPr>
      <w:r>
        <w:rPr>
          <w:rFonts w:ascii="Times New Roman" w:hAnsi="Times New Roman" w:cs="Times New Roman"/>
          <w:bCs/>
          <w:sz w:val="28"/>
          <w:szCs w:val="28"/>
        </w:rPr>
        <w:t xml:space="preserve"> </w:t>
      </w:r>
    </w:p>
    <w:p w14:paraId="4E103623" w14:textId="77777777" w:rsidR="003E03D4" w:rsidRDefault="003E03D4" w:rsidP="00560F3B">
      <w:pPr>
        <w:pStyle w:val="ListParagraph"/>
        <w:framePr w:wrap="auto" w:vAnchor="margin" w:yAlign="inline"/>
        <w:tabs>
          <w:tab w:val="center" w:pos="4680"/>
        </w:tabs>
        <w:jc w:val="both"/>
        <w:rPr>
          <w:rFonts w:ascii="Times New Roman" w:hAnsi="Times New Roman" w:cs="Times New Roman"/>
          <w:bCs/>
          <w:sz w:val="28"/>
          <w:szCs w:val="28"/>
        </w:rPr>
      </w:pPr>
      <w:r>
        <w:rPr>
          <w:rFonts w:ascii="Times New Roman" w:hAnsi="Times New Roman" w:cs="Times New Roman"/>
          <w:bCs/>
          <w:sz w:val="28"/>
          <w:szCs w:val="28"/>
        </w:rPr>
        <w:t xml:space="preserve">            </w:t>
      </w:r>
    </w:p>
    <w:p w14:paraId="23306FA1" w14:textId="34E10735" w:rsidR="003E03D4" w:rsidRPr="003E03D4" w:rsidRDefault="003E03D4" w:rsidP="00560F3B">
      <w:pPr>
        <w:spacing w:after="0"/>
        <w:jc w:val="both"/>
      </w:pPr>
      <w:r>
        <w:tab/>
      </w:r>
      <w:r>
        <w:tab/>
      </w:r>
      <w:r w:rsidRPr="004C1F03">
        <w:t>Based on the findings from the pharmacokinetic studies, principles of drug dosing for the obese patients may be adopted to calculate loading dose and maintenance dose.</w:t>
      </w:r>
    </w:p>
    <w:p w14:paraId="14373CB2" w14:textId="77777777" w:rsidR="003E03D4" w:rsidRPr="00964EC3" w:rsidRDefault="003E03D4" w:rsidP="00560F3B">
      <w:pPr>
        <w:pStyle w:val="Heading2"/>
        <w:framePr w:wrap="around"/>
        <w:jc w:val="both"/>
      </w:pPr>
      <w:r w:rsidRPr="00964EC3">
        <w:t>Loading dose:</w:t>
      </w:r>
    </w:p>
    <w:p w14:paraId="26203DE6" w14:textId="77777777" w:rsidR="003E03D4" w:rsidRDefault="003E03D4" w:rsidP="00560F3B">
      <w:pPr>
        <w:pStyle w:val="ListParagraph"/>
        <w:framePr w:wrap="auto" w:vAnchor="margin" w:yAlign="inline"/>
        <w:tabs>
          <w:tab w:val="center" w:pos="4680"/>
        </w:tabs>
        <w:jc w:val="both"/>
        <w:rPr>
          <w:rFonts w:ascii="Times New Roman" w:hAnsi="Times New Roman" w:cs="Times New Roman"/>
          <w:b/>
          <w:bCs/>
          <w:sz w:val="32"/>
          <w:szCs w:val="32"/>
        </w:rPr>
      </w:pPr>
      <w:r>
        <w:rPr>
          <w:rFonts w:ascii="Times New Roman" w:hAnsi="Times New Roman" w:cs="Times New Roman"/>
          <w:b/>
          <w:bCs/>
          <w:sz w:val="32"/>
          <w:szCs w:val="32"/>
        </w:rPr>
        <w:t xml:space="preserve">       </w:t>
      </w:r>
    </w:p>
    <w:p w14:paraId="3DF3741A" w14:textId="4714107D" w:rsidR="003E03D4" w:rsidRPr="00E7607A" w:rsidRDefault="001B46F5" w:rsidP="00560F3B">
      <w:pPr>
        <w:jc w:val="both"/>
      </w:pPr>
      <w:r>
        <w:rPr>
          <w:noProof/>
        </w:rPr>
        <w:lastRenderedPageBreak/>
        <w:drawing>
          <wp:anchor distT="0" distB="0" distL="114300" distR="114300" simplePos="0" relativeHeight="251661312" behindDoc="0" locked="0" layoutInCell="1" allowOverlap="1" wp14:anchorId="1B05F5B6" wp14:editId="41B4B7F4">
            <wp:simplePos x="0" y="0"/>
            <wp:positionH relativeFrom="margin">
              <wp:align>center</wp:align>
            </wp:positionH>
            <wp:positionV relativeFrom="paragraph">
              <wp:posOffset>1346835</wp:posOffset>
            </wp:positionV>
            <wp:extent cx="5132070" cy="297180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rotWithShape="1">
                    <a:blip r:embed="rId13">
                      <a:extLst>
                        <a:ext uri="{28A0092B-C50C-407E-A947-70E740481C1C}">
                          <a14:useLocalDpi xmlns:a14="http://schemas.microsoft.com/office/drawing/2010/main" val="0"/>
                        </a:ext>
                      </a:extLst>
                    </a:blip>
                    <a:srcRect t="7968" b="11157"/>
                    <a:stretch/>
                  </pic:blipFill>
                  <pic:spPr bwMode="auto">
                    <a:xfrm>
                      <a:off x="0" y="0"/>
                      <a:ext cx="5132070" cy="2971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E03D4">
        <w:rPr>
          <w:b/>
          <w:sz w:val="32"/>
          <w:szCs w:val="32"/>
        </w:rPr>
        <w:t xml:space="preserve">        </w:t>
      </w:r>
      <w:r w:rsidR="003E03D4" w:rsidRPr="00E7607A">
        <w:rPr>
          <w:b/>
          <w:sz w:val="32"/>
          <w:szCs w:val="32"/>
        </w:rPr>
        <w:t xml:space="preserve"> </w:t>
      </w:r>
      <w:r w:rsidR="003E03D4">
        <w:rPr>
          <w:b/>
          <w:sz w:val="32"/>
          <w:szCs w:val="32"/>
        </w:rPr>
        <w:t xml:space="preserve">  </w:t>
      </w:r>
      <w:r w:rsidR="003E03D4" w:rsidRPr="00E7607A">
        <w:t xml:space="preserve">The loading dose is primarily based on </w:t>
      </w:r>
      <w:r w:rsidR="003E03D4" w:rsidRPr="00E7607A">
        <w:rPr>
          <w:i/>
          <w:iCs/>
        </w:rPr>
        <w:t>V</w:t>
      </w:r>
      <w:r w:rsidR="003E03D4">
        <w:t>olume of distribution (Vd).</w:t>
      </w:r>
      <w:r w:rsidR="003E03D4" w:rsidRPr="00E7607A">
        <w:t xml:space="preserve">In general, the weight used to calculate the loading dose depends on how the drug is distributed in the lean and fat tissues in the body. </w:t>
      </w:r>
    </w:p>
    <w:p w14:paraId="3FB9D13A" w14:textId="77777777" w:rsidR="003E03D4" w:rsidRPr="00E7607A" w:rsidRDefault="003E03D4" w:rsidP="00560F3B">
      <w:pPr>
        <w:pStyle w:val="ListParagraph"/>
        <w:framePr w:wrap="around"/>
        <w:numPr>
          <w:ilvl w:val="0"/>
          <w:numId w:val="7"/>
        </w:numPr>
        <w:jc w:val="both"/>
      </w:pPr>
      <w:r w:rsidRPr="00E7607A">
        <w:t xml:space="preserve">If the drug is primarily distributed into the lean mass, LBW will be used to calculate the loading dose. </w:t>
      </w:r>
    </w:p>
    <w:p w14:paraId="569C785C" w14:textId="77777777" w:rsidR="003E03D4" w:rsidRDefault="003E03D4" w:rsidP="00560F3B">
      <w:pPr>
        <w:pStyle w:val="ListParagraph"/>
        <w:framePr w:wrap="around"/>
        <w:numPr>
          <w:ilvl w:val="0"/>
          <w:numId w:val="7"/>
        </w:numPr>
        <w:jc w:val="both"/>
      </w:pPr>
      <w:r w:rsidRPr="00E7607A">
        <w:t xml:space="preserve">In contrast, if the drug is largely distributed into the fat tissues, TBW will be used. </w:t>
      </w:r>
    </w:p>
    <w:p w14:paraId="4BC2368A" w14:textId="707802E5" w:rsidR="003E03D4" w:rsidRDefault="003E03D4" w:rsidP="00560F3B">
      <w:pPr>
        <w:pStyle w:val="ListParagraph"/>
        <w:framePr w:wrap="auto" w:vAnchor="margin" w:yAlign="inline"/>
        <w:tabs>
          <w:tab w:val="center" w:pos="4680"/>
        </w:tabs>
        <w:ind w:left="1080"/>
        <w:jc w:val="both"/>
        <w:rPr>
          <w:rFonts w:ascii="Times New Roman" w:hAnsi="Times New Roman" w:cs="Times New Roman"/>
          <w:bCs/>
          <w:sz w:val="28"/>
          <w:szCs w:val="28"/>
        </w:rPr>
      </w:pPr>
    </w:p>
    <w:p w14:paraId="3BB5FF49" w14:textId="77777777" w:rsidR="003E03D4" w:rsidRPr="006E289C" w:rsidRDefault="003E03D4" w:rsidP="00560F3B">
      <w:pPr>
        <w:pStyle w:val="Heading2"/>
        <w:framePr w:wrap="around"/>
        <w:jc w:val="both"/>
      </w:pPr>
      <w:r w:rsidRPr="006E289C">
        <w:t>Maintenance dose:</w:t>
      </w:r>
    </w:p>
    <w:p w14:paraId="500F64E4" w14:textId="3543E25B" w:rsidR="003E03D4" w:rsidRDefault="003E03D4" w:rsidP="00560F3B">
      <w:pPr>
        <w:pStyle w:val="ListParagraph"/>
        <w:framePr w:wrap="auto" w:vAnchor="margin" w:yAlign="inline"/>
        <w:tabs>
          <w:tab w:val="center" w:pos="4680"/>
        </w:tabs>
        <w:ind w:left="1080"/>
        <w:jc w:val="both"/>
        <w:rPr>
          <w:rFonts w:ascii="Times New Roman" w:hAnsi="Times New Roman" w:cs="Times New Roman"/>
          <w:b/>
          <w:bCs/>
          <w:sz w:val="32"/>
          <w:szCs w:val="32"/>
        </w:rPr>
      </w:pPr>
    </w:p>
    <w:p w14:paraId="799E62B4" w14:textId="370C46D9" w:rsidR="003E03D4" w:rsidRPr="006E289C" w:rsidRDefault="003E03D4" w:rsidP="00560F3B">
      <w:pPr>
        <w:jc w:val="both"/>
        <w:rPr>
          <w:b/>
          <w:sz w:val="32"/>
          <w:szCs w:val="32"/>
        </w:rPr>
      </w:pPr>
      <w:r>
        <w:rPr>
          <w:b/>
          <w:sz w:val="32"/>
          <w:szCs w:val="32"/>
        </w:rPr>
        <w:t xml:space="preserve">           </w:t>
      </w:r>
      <w:r w:rsidRPr="00E7607A">
        <w:rPr>
          <w:b/>
          <w:sz w:val="32"/>
          <w:szCs w:val="32"/>
        </w:rPr>
        <w:t xml:space="preserve"> </w:t>
      </w:r>
      <w:r w:rsidRPr="00E7607A">
        <w:t>The maintenance dose primarily depends on drug clearance (Cl). Equation to estimate glomerular filtration rate (GFR) are Cockcroft–Gault (CG) equation</w:t>
      </w:r>
      <w:r>
        <w:t xml:space="preserve">. </w:t>
      </w:r>
      <w:r w:rsidRPr="00E7607A">
        <w:t xml:space="preserve">To estimate </w:t>
      </w:r>
      <w:r w:rsidRPr="00E7607A">
        <w:rPr>
          <w:i/>
          <w:iCs/>
        </w:rPr>
        <w:t>Cl</w:t>
      </w:r>
      <w:r w:rsidRPr="00E7607A">
        <w:t xml:space="preserve">cr by the CG equation, it is recommended to use </w:t>
      </w:r>
    </w:p>
    <w:p w14:paraId="4C3D9876" w14:textId="77777777" w:rsidR="003E03D4" w:rsidRPr="00E7607A" w:rsidRDefault="003E03D4" w:rsidP="00560F3B">
      <w:pPr>
        <w:pStyle w:val="ListParagraph"/>
        <w:framePr w:wrap="around"/>
        <w:numPr>
          <w:ilvl w:val="0"/>
          <w:numId w:val="1"/>
        </w:numPr>
        <w:jc w:val="both"/>
      </w:pPr>
      <w:r w:rsidRPr="00E7607A">
        <w:t xml:space="preserve">–TBW in underweight patients, </w:t>
      </w:r>
    </w:p>
    <w:p w14:paraId="720ED77B" w14:textId="77777777" w:rsidR="003E03D4" w:rsidRPr="00E7607A" w:rsidRDefault="003E03D4" w:rsidP="00560F3B">
      <w:pPr>
        <w:pStyle w:val="ListParagraph"/>
        <w:framePr w:wrap="around"/>
        <w:numPr>
          <w:ilvl w:val="0"/>
          <w:numId w:val="1"/>
        </w:numPr>
        <w:jc w:val="both"/>
      </w:pPr>
      <w:r w:rsidRPr="00E7607A">
        <w:t xml:space="preserve">–LBW in patients with normal weight, and </w:t>
      </w:r>
    </w:p>
    <w:p w14:paraId="31C7A18A" w14:textId="4D01E182" w:rsidR="003E03D4" w:rsidRDefault="003E03D4" w:rsidP="00560F3B">
      <w:pPr>
        <w:pStyle w:val="ListParagraph"/>
        <w:framePr w:wrap="around"/>
        <w:numPr>
          <w:ilvl w:val="0"/>
          <w:numId w:val="1"/>
        </w:numPr>
        <w:jc w:val="both"/>
      </w:pPr>
      <w:r w:rsidRPr="00E7607A">
        <w:t>–Adjusted body weight for overweight, obese, and morbidly obese patients</w:t>
      </w:r>
    </w:p>
    <w:p w14:paraId="5C351835" w14:textId="57C88EA2" w:rsidR="001B46F5" w:rsidRDefault="001B46F5" w:rsidP="00560F3B">
      <w:pPr>
        <w:pStyle w:val="ListParagraph"/>
        <w:framePr w:wrap="around"/>
        <w:ind w:left="1440"/>
        <w:jc w:val="both"/>
      </w:pPr>
    </w:p>
    <w:p w14:paraId="4414C1B5" w14:textId="6B5802F6" w:rsidR="001B46F5" w:rsidRDefault="001B46F5" w:rsidP="00560F3B">
      <w:pPr>
        <w:pStyle w:val="ListParagraph"/>
        <w:framePr w:wrap="around"/>
        <w:ind w:left="1440"/>
        <w:jc w:val="both"/>
      </w:pPr>
    </w:p>
    <w:p w14:paraId="2A7678C7" w14:textId="77777777" w:rsidR="001B46F5" w:rsidRPr="006E289C" w:rsidRDefault="001B46F5" w:rsidP="00560F3B">
      <w:pPr>
        <w:pStyle w:val="ListParagraph"/>
        <w:framePr w:wrap="around"/>
        <w:ind w:left="1440"/>
        <w:jc w:val="both"/>
      </w:pPr>
    </w:p>
    <w:p w14:paraId="528CF5E9" w14:textId="63031A1C" w:rsidR="003E03D4" w:rsidRPr="00964EC3" w:rsidRDefault="003E03D4" w:rsidP="00560F3B">
      <w:pPr>
        <w:pStyle w:val="Heading2"/>
        <w:framePr w:wrap="around"/>
        <w:jc w:val="both"/>
      </w:pPr>
      <w:r w:rsidRPr="00964EC3">
        <w:t>References:</w:t>
      </w:r>
    </w:p>
    <w:p w14:paraId="4D20E3B5" w14:textId="3C084DFD" w:rsidR="003E03D4" w:rsidRPr="00E7607A" w:rsidRDefault="003E03D4" w:rsidP="00560F3B">
      <w:pPr>
        <w:pStyle w:val="ListParagraph"/>
        <w:framePr w:wrap="around"/>
        <w:numPr>
          <w:ilvl w:val="0"/>
          <w:numId w:val="8"/>
        </w:numPr>
        <w:jc w:val="both"/>
      </w:pPr>
      <w:r w:rsidRPr="00E7607A">
        <w:t>Pharmacotherapy 6</w:t>
      </w:r>
      <w:r w:rsidRPr="006E289C">
        <w:rPr>
          <w:vertAlign w:val="superscript"/>
        </w:rPr>
        <w:t>th</w:t>
      </w:r>
      <w:r w:rsidRPr="00E7607A">
        <w:t xml:space="preserve"> Edition, A pathophysiologic approach. Copyright 2005, 2002 by The McGraw-Hill Companies, Inc. All rights reserved. A chapter on Geriatrics; 103-113. </w:t>
      </w:r>
      <w:hyperlink r:id="rId14" w:history="1">
        <w:r w:rsidRPr="006E289C">
          <w:rPr>
            <w:rStyle w:val="Hyperlink"/>
            <w:rFonts w:ascii="Times New Roman" w:hAnsi="Times New Roman" w:cs="Times New Roman"/>
            <w:bCs/>
            <w:sz w:val="28"/>
            <w:szCs w:val="28"/>
          </w:rPr>
          <w:t>www.pharmaotherapyonline.com</w:t>
        </w:r>
      </w:hyperlink>
    </w:p>
    <w:p w14:paraId="01CC73D2" w14:textId="46FF2CE7" w:rsidR="003E03D4" w:rsidRPr="00E7607A" w:rsidRDefault="003E03D4" w:rsidP="00560F3B">
      <w:pPr>
        <w:pStyle w:val="ListParagraph"/>
        <w:framePr w:wrap="around"/>
        <w:numPr>
          <w:ilvl w:val="0"/>
          <w:numId w:val="8"/>
        </w:numPr>
        <w:jc w:val="both"/>
      </w:pPr>
      <w:r w:rsidRPr="00E7607A">
        <w:t>Applied biopharmaceutics and pharmacokinetics by Leon Shargel</w:t>
      </w:r>
    </w:p>
    <w:p w14:paraId="1B83E355" w14:textId="69F23E66" w:rsidR="003E03D4" w:rsidRPr="00E7607A" w:rsidRDefault="003E03D4" w:rsidP="00560F3B">
      <w:pPr>
        <w:pStyle w:val="ListParagraph"/>
        <w:framePr w:wrap="around"/>
        <w:numPr>
          <w:ilvl w:val="0"/>
          <w:numId w:val="8"/>
        </w:numPr>
        <w:jc w:val="both"/>
      </w:pPr>
      <w:r w:rsidRPr="00E7607A">
        <w:t>Essentials of Clinical Geriatrics, 4</w:t>
      </w:r>
      <w:r w:rsidRPr="006E289C">
        <w:rPr>
          <w:vertAlign w:val="superscript"/>
        </w:rPr>
        <w:t>th</w:t>
      </w:r>
      <w:r w:rsidRPr="00E7607A">
        <w:t xml:space="preserve"> Edition. Kane, Ouslander, Abrass, Eds. McGraw-Hill.</w:t>
      </w:r>
    </w:p>
    <w:p w14:paraId="2DB4F585" w14:textId="09A8BBB3" w:rsidR="003E03D4" w:rsidRPr="00E7607A" w:rsidRDefault="003E03D4" w:rsidP="00560F3B">
      <w:pPr>
        <w:pStyle w:val="ListParagraph"/>
        <w:framePr w:wrap="auto" w:vAnchor="margin" w:yAlign="inline"/>
        <w:tabs>
          <w:tab w:val="center" w:pos="4680"/>
        </w:tabs>
        <w:ind w:left="1080"/>
        <w:jc w:val="both"/>
        <w:rPr>
          <w:rFonts w:ascii="Times New Roman" w:hAnsi="Times New Roman" w:cs="Times New Roman"/>
          <w:bCs/>
          <w:sz w:val="28"/>
          <w:szCs w:val="28"/>
        </w:rPr>
      </w:pPr>
    </w:p>
    <w:p w14:paraId="123BBE4B" w14:textId="36EA6469" w:rsidR="003E03D4" w:rsidRPr="00E7607A" w:rsidRDefault="003E03D4" w:rsidP="00560F3B">
      <w:pPr>
        <w:pStyle w:val="ListParagraph"/>
        <w:framePr w:wrap="auto" w:vAnchor="margin" w:yAlign="inline"/>
        <w:tabs>
          <w:tab w:val="center" w:pos="4680"/>
        </w:tabs>
        <w:ind w:left="1080"/>
        <w:jc w:val="both"/>
        <w:rPr>
          <w:rFonts w:ascii="Times New Roman" w:hAnsi="Times New Roman" w:cs="Times New Roman"/>
          <w:b/>
          <w:bCs/>
          <w:sz w:val="32"/>
          <w:szCs w:val="32"/>
        </w:rPr>
      </w:pPr>
      <w:r>
        <w:rPr>
          <w:rFonts w:ascii="Times New Roman" w:hAnsi="Times New Roman" w:cs="Times New Roman"/>
          <w:b/>
          <w:bCs/>
          <w:sz w:val="32"/>
          <w:szCs w:val="32"/>
        </w:rPr>
        <w:t xml:space="preserve">            </w:t>
      </w:r>
    </w:p>
    <w:p w14:paraId="190007F5" w14:textId="2A129E45" w:rsidR="003E03D4" w:rsidRPr="00E7607A" w:rsidRDefault="003E03D4" w:rsidP="00560F3B">
      <w:pPr>
        <w:pStyle w:val="ListParagraph"/>
        <w:framePr w:wrap="auto" w:vAnchor="margin" w:yAlign="inline"/>
        <w:tabs>
          <w:tab w:val="center" w:pos="4680"/>
        </w:tabs>
        <w:jc w:val="both"/>
        <w:rPr>
          <w:rFonts w:ascii="Times New Roman" w:hAnsi="Times New Roman" w:cs="Times New Roman"/>
          <w:bCs/>
          <w:sz w:val="28"/>
          <w:szCs w:val="28"/>
        </w:rPr>
      </w:pPr>
    </w:p>
    <w:p w14:paraId="313E0B23" w14:textId="16205E39" w:rsidR="003E03D4" w:rsidRDefault="003E03D4" w:rsidP="00560F3B">
      <w:pPr>
        <w:tabs>
          <w:tab w:val="center" w:pos="4680"/>
        </w:tabs>
        <w:ind w:left="1080"/>
        <w:jc w:val="both"/>
        <w:rPr>
          <w:rFonts w:ascii="Times New Roman" w:hAnsi="Times New Roman" w:cs="Times New Roman"/>
          <w:b/>
          <w:bCs/>
          <w:sz w:val="28"/>
          <w:szCs w:val="28"/>
        </w:rPr>
      </w:pPr>
    </w:p>
    <w:p w14:paraId="343DFBFB" w14:textId="7C358303" w:rsidR="003E03D4" w:rsidRDefault="003E03D4" w:rsidP="00560F3B">
      <w:pPr>
        <w:tabs>
          <w:tab w:val="center" w:pos="4680"/>
        </w:tabs>
        <w:ind w:left="1080"/>
        <w:jc w:val="both"/>
        <w:rPr>
          <w:rFonts w:ascii="Times New Roman" w:hAnsi="Times New Roman" w:cs="Times New Roman"/>
          <w:b/>
          <w:bCs/>
          <w:sz w:val="28"/>
          <w:szCs w:val="28"/>
        </w:rPr>
      </w:pPr>
    </w:p>
    <w:p w14:paraId="48F8A3D9" w14:textId="58DD4D70" w:rsidR="003E03D4" w:rsidRPr="00F94E22" w:rsidRDefault="003E03D4" w:rsidP="00560F3B">
      <w:pPr>
        <w:tabs>
          <w:tab w:val="center" w:pos="4680"/>
        </w:tabs>
        <w:ind w:left="1080"/>
        <w:jc w:val="both"/>
        <w:rPr>
          <w:rFonts w:ascii="Times New Roman" w:hAnsi="Times New Roman" w:cs="Times New Roman"/>
          <w:bCs/>
          <w:sz w:val="28"/>
          <w:szCs w:val="28"/>
        </w:rPr>
      </w:pPr>
    </w:p>
    <w:p w14:paraId="55484553" w14:textId="1450EEE6" w:rsidR="003E03D4" w:rsidRPr="003E03D4" w:rsidRDefault="003E03D4" w:rsidP="00560F3B">
      <w:pPr>
        <w:jc w:val="both"/>
      </w:pPr>
    </w:p>
    <w:sectPr w:rsidR="003E03D4" w:rsidRPr="003E03D4" w:rsidSect="00056C9A">
      <w:footerReference w:type="default" r:id="rId15"/>
      <w:pgSz w:w="11906" w:h="16838" w:code="9"/>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A612D" w14:textId="77777777" w:rsidR="006D0328" w:rsidRDefault="006D0328" w:rsidP="00056C9A">
      <w:pPr>
        <w:spacing w:after="0"/>
      </w:pPr>
      <w:r>
        <w:separator/>
      </w:r>
    </w:p>
  </w:endnote>
  <w:endnote w:type="continuationSeparator" w:id="0">
    <w:p w14:paraId="449E24D4" w14:textId="77777777" w:rsidR="006D0328" w:rsidRDefault="006D0328" w:rsidP="00056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545645"/>
      <w:docPartObj>
        <w:docPartGallery w:val="Page Numbers (Bottom of Page)"/>
        <w:docPartUnique/>
      </w:docPartObj>
    </w:sdtPr>
    <w:sdtEndPr>
      <w:rPr>
        <w:color w:val="7F7F7F" w:themeColor="background1" w:themeShade="7F"/>
        <w:spacing w:val="60"/>
      </w:rPr>
    </w:sdtEndPr>
    <w:sdtContent>
      <w:p w14:paraId="4F5A8306" w14:textId="0C67EEE7" w:rsidR="00056C9A" w:rsidRDefault="00056C9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A2658" w:rsidRPr="00FA2658">
          <w:rPr>
            <w:b/>
            <w:bCs/>
            <w:noProof/>
          </w:rPr>
          <w:t>8</w:t>
        </w:r>
        <w:r>
          <w:rPr>
            <w:b/>
            <w:bCs/>
            <w:noProof/>
          </w:rPr>
          <w:fldChar w:fldCharType="end"/>
        </w:r>
        <w:r>
          <w:rPr>
            <w:b/>
            <w:bCs/>
          </w:rPr>
          <w:t xml:space="preserve"> | </w:t>
        </w:r>
        <w:r>
          <w:rPr>
            <w:color w:val="7F7F7F" w:themeColor="background1" w:themeShade="7F"/>
            <w:spacing w:val="60"/>
          </w:rPr>
          <w:t>Page</w:t>
        </w:r>
      </w:p>
    </w:sdtContent>
  </w:sdt>
  <w:p w14:paraId="764A210D" w14:textId="77777777" w:rsidR="00056C9A" w:rsidRDefault="00056C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1C3FB" w14:textId="77777777" w:rsidR="006D0328" w:rsidRDefault="006D0328" w:rsidP="00056C9A">
      <w:pPr>
        <w:spacing w:after="0"/>
      </w:pPr>
      <w:r>
        <w:separator/>
      </w:r>
    </w:p>
  </w:footnote>
  <w:footnote w:type="continuationSeparator" w:id="0">
    <w:p w14:paraId="61CE2D21" w14:textId="77777777" w:rsidR="006D0328" w:rsidRDefault="006D0328" w:rsidP="00056C9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7574"/>
    <w:multiLevelType w:val="hybridMultilevel"/>
    <w:tmpl w:val="7ACE96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F64460"/>
    <w:multiLevelType w:val="hybridMultilevel"/>
    <w:tmpl w:val="C278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3F2844"/>
    <w:multiLevelType w:val="hybridMultilevel"/>
    <w:tmpl w:val="9A88F9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4C821C1"/>
    <w:multiLevelType w:val="hybridMultilevel"/>
    <w:tmpl w:val="561A9C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466769"/>
    <w:multiLevelType w:val="hybridMultilevel"/>
    <w:tmpl w:val="D6E6D6D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0276A"/>
    <w:multiLevelType w:val="hybridMultilevel"/>
    <w:tmpl w:val="D03E9010"/>
    <w:lvl w:ilvl="0" w:tplc="04090017">
      <w:start w:val="1"/>
      <w:numFmt w:val="lowerLetter"/>
      <w:lvlText w:val="%1)"/>
      <w:lvlJc w:val="left"/>
      <w:pPr>
        <w:ind w:left="1709" w:hanging="360"/>
      </w:pPr>
    </w:lvl>
    <w:lvl w:ilvl="1" w:tplc="04090019" w:tentative="1">
      <w:start w:val="1"/>
      <w:numFmt w:val="lowerLetter"/>
      <w:lvlText w:val="%2."/>
      <w:lvlJc w:val="left"/>
      <w:pPr>
        <w:ind w:left="2429" w:hanging="360"/>
      </w:pPr>
    </w:lvl>
    <w:lvl w:ilvl="2" w:tplc="0409001B" w:tentative="1">
      <w:start w:val="1"/>
      <w:numFmt w:val="lowerRoman"/>
      <w:lvlText w:val="%3."/>
      <w:lvlJc w:val="right"/>
      <w:pPr>
        <w:ind w:left="3149" w:hanging="180"/>
      </w:pPr>
    </w:lvl>
    <w:lvl w:ilvl="3" w:tplc="0409000F" w:tentative="1">
      <w:start w:val="1"/>
      <w:numFmt w:val="decimal"/>
      <w:lvlText w:val="%4."/>
      <w:lvlJc w:val="left"/>
      <w:pPr>
        <w:ind w:left="3869" w:hanging="360"/>
      </w:pPr>
    </w:lvl>
    <w:lvl w:ilvl="4" w:tplc="04090019" w:tentative="1">
      <w:start w:val="1"/>
      <w:numFmt w:val="lowerLetter"/>
      <w:lvlText w:val="%5."/>
      <w:lvlJc w:val="left"/>
      <w:pPr>
        <w:ind w:left="4589" w:hanging="360"/>
      </w:pPr>
    </w:lvl>
    <w:lvl w:ilvl="5" w:tplc="0409001B" w:tentative="1">
      <w:start w:val="1"/>
      <w:numFmt w:val="lowerRoman"/>
      <w:lvlText w:val="%6."/>
      <w:lvlJc w:val="right"/>
      <w:pPr>
        <w:ind w:left="5309" w:hanging="180"/>
      </w:pPr>
    </w:lvl>
    <w:lvl w:ilvl="6" w:tplc="0409000F" w:tentative="1">
      <w:start w:val="1"/>
      <w:numFmt w:val="decimal"/>
      <w:lvlText w:val="%7."/>
      <w:lvlJc w:val="left"/>
      <w:pPr>
        <w:ind w:left="6029" w:hanging="360"/>
      </w:pPr>
    </w:lvl>
    <w:lvl w:ilvl="7" w:tplc="04090019" w:tentative="1">
      <w:start w:val="1"/>
      <w:numFmt w:val="lowerLetter"/>
      <w:lvlText w:val="%8."/>
      <w:lvlJc w:val="left"/>
      <w:pPr>
        <w:ind w:left="6749" w:hanging="360"/>
      </w:pPr>
    </w:lvl>
    <w:lvl w:ilvl="8" w:tplc="0409001B" w:tentative="1">
      <w:start w:val="1"/>
      <w:numFmt w:val="lowerRoman"/>
      <w:lvlText w:val="%9."/>
      <w:lvlJc w:val="right"/>
      <w:pPr>
        <w:ind w:left="7469" w:hanging="180"/>
      </w:pPr>
    </w:lvl>
  </w:abstractNum>
  <w:abstractNum w:abstractNumId="6" w15:restartNumberingAfterBreak="0">
    <w:nsid w:val="649F62F8"/>
    <w:multiLevelType w:val="hybridMultilevel"/>
    <w:tmpl w:val="EEF6ED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AEE4A9B"/>
    <w:multiLevelType w:val="hybridMultilevel"/>
    <w:tmpl w:val="070225C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5"/>
  </w:num>
  <w:num w:numId="4">
    <w:abstractNumId w:val="0"/>
  </w:num>
  <w:num w:numId="5">
    <w:abstractNumId w:val="3"/>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1FA"/>
    <w:rsid w:val="00056C9A"/>
    <w:rsid w:val="00096939"/>
    <w:rsid w:val="00171745"/>
    <w:rsid w:val="00180914"/>
    <w:rsid w:val="001B46F5"/>
    <w:rsid w:val="001F2076"/>
    <w:rsid w:val="002A41D2"/>
    <w:rsid w:val="003E03D4"/>
    <w:rsid w:val="004451FA"/>
    <w:rsid w:val="00560F3B"/>
    <w:rsid w:val="00626C58"/>
    <w:rsid w:val="006D0328"/>
    <w:rsid w:val="006E289C"/>
    <w:rsid w:val="009401B7"/>
    <w:rsid w:val="00D84A4D"/>
    <w:rsid w:val="00F270F4"/>
    <w:rsid w:val="00FA2658"/>
    <w:rsid w:val="00FE5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E1A3"/>
  <w15:chartTrackingRefBased/>
  <w15:docId w15:val="{56242E2D-9269-4132-B267-F77BA592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89C"/>
    <w:pPr>
      <w:spacing w:line="240" w:lineRule="auto"/>
    </w:pPr>
    <w:rPr>
      <w:sz w:val="24"/>
    </w:rPr>
  </w:style>
  <w:style w:type="paragraph" w:styleId="Heading1">
    <w:name w:val="heading 1"/>
    <w:basedOn w:val="Normal"/>
    <w:next w:val="Normal"/>
    <w:link w:val="Heading1Char"/>
    <w:uiPriority w:val="9"/>
    <w:qFormat/>
    <w:rsid w:val="009401B7"/>
    <w:pPr>
      <w:keepNext/>
      <w:keepLines/>
      <w:framePr w:wrap="around" w:vAnchor="text" w:hAnchor="text" w:y="1"/>
      <w:spacing w:before="240" w:after="0" w:line="360" w:lineRule="auto"/>
      <w:jc w:val="center"/>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9401B7"/>
    <w:pPr>
      <w:keepNext/>
      <w:keepLines/>
      <w:framePr w:wrap="around" w:vAnchor="text" w:hAnchor="text" w:y="1"/>
      <w:spacing w:before="40" w:after="0" w:line="360" w:lineRule="auto"/>
      <w:outlineLvl w:val="1"/>
    </w:pPr>
    <w:rPr>
      <w:rFonts w:asciiTheme="majorHAnsi" w:eastAsiaTheme="majorEastAsia" w:hAnsiTheme="majorHAnsi" w:cstheme="majorBidi"/>
      <w:b/>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401B7"/>
    <w:pPr>
      <w:spacing w:after="0" w:line="240" w:lineRule="auto"/>
    </w:pPr>
    <w:rPr>
      <w:rFonts w:eastAsiaTheme="minorEastAsia"/>
    </w:rPr>
  </w:style>
  <w:style w:type="character" w:customStyle="1" w:styleId="NoSpacingChar">
    <w:name w:val="No Spacing Char"/>
    <w:basedOn w:val="DefaultParagraphFont"/>
    <w:link w:val="NoSpacing"/>
    <w:uiPriority w:val="1"/>
    <w:rsid w:val="009401B7"/>
    <w:rPr>
      <w:rFonts w:eastAsiaTheme="minorEastAsia"/>
    </w:rPr>
  </w:style>
  <w:style w:type="character" w:customStyle="1" w:styleId="Heading1Char">
    <w:name w:val="Heading 1 Char"/>
    <w:basedOn w:val="DefaultParagraphFont"/>
    <w:link w:val="Heading1"/>
    <w:uiPriority w:val="9"/>
    <w:rsid w:val="009401B7"/>
    <w:rPr>
      <w:rFonts w:asciiTheme="majorHAnsi" w:eastAsiaTheme="majorEastAsia" w:hAnsiTheme="majorHAnsi" w:cstheme="majorBidi"/>
      <w:b/>
      <w:color w:val="000000" w:themeColor="text1"/>
      <w:sz w:val="32"/>
      <w:szCs w:val="32"/>
    </w:rPr>
  </w:style>
  <w:style w:type="character" w:customStyle="1" w:styleId="Heading2Char">
    <w:name w:val="Heading 2 Char"/>
    <w:basedOn w:val="DefaultParagraphFont"/>
    <w:link w:val="Heading2"/>
    <w:uiPriority w:val="9"/>
    <w:rsid w:val="009401B7"/>
    <w:rPr>
      <w:rFonts w:asciiTheme="majorHAnsi" w:eastAsiaTheme="majorEastAsia" w:hAnsiTheme="majorHAnsi" w:cstheme="majorBidi"/>
      <w:b/>
      <w:sz w:val="28"/>
      <w:szCs w:val="26"/>
      <w:u w:val="single"/>
    </w:rPr>
  </w:style>
  <w:style w:type="paragraph" w:styleId="ListParagraph">
    <w:name w:val="List Paragraph"/>
    <w:basedOn w:val="Normal"/>
    <w:uiPriority w:val="34"/>
    <w:qFormat/>
    <w:rsid w:val="009401B7"/>
    <w:pPr>
      <w:framePr w:wrap="around" w:vAnchor="text" w:hAnchor="text" w:y="1"/>
      <w:ind w:left="720"/>
      <w:contextualSpacing/>
    </w:pPr>
  </w:style>
  <w:style w:type="character" w:styleId="PlaceholderText">
    <w:name w:val="Placeholder Text"/>
    <w:basedOn w:val="DefaultParagraphFont"/>
    <w:uiPriority w:val="99"/>
    <w:semiHidden/>
    <w:rsid w:val="009401B7"/>
    <w:rPr>
      <w:color w:val="808080"/>
    </w:rPr>
  </w:style>
  <w:style w:type="paragraph" w:styleId="BalloonText">
    <w:name w:val="Balloon Text"/>
    <w:basedOn w:val="Normal"/>
    <w:link w:val="BalloonTextChar"/>
    <w:uiPriority w:val="99"/>
    <w:semiHidden/>
    <w:unhideWhenUsed/>
    <w:rsid w:val="00940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01B7"/>
    <w:rPr>
      <w:rFonts w:ascii="Segoe UI" w:hAnsi="Segoe UI" w:cs="Segoe UI"/>
      <w:sz w:val="18"/>
      <w:szCs w:val="18"/>
    </w:rPr>
  </w:style>
  <w:style w:type="character" w:styleId="Hyperlink">
    <w:name w:val="Hyperlink"/>
    <w:basedOn w:val="DefaultParagraphFont"/>
    <w:uiPriority w:val="99"/>
    <w:unhideWhenUsed/>
    <w:rsid w:val="003E03D4"/>
    <w:rPr>
      <w:color w:val="0563C1" w:themeColor="hyperlink"/>
      <w:u w:val="single"/>
    </w:rPr>
  </w:style>
  <w:style w:type="paragraph" w:styleId="Header">
    <w:name w:val="header"/>
    <w:basedOn w:val="Normal"/>
    <w:link w:val="HeaderChar"/>
    <w:uiPriority w:val="99"/>
    <w:unhideWhenUsed/>
    <w:rsid w:val="00056C9A"/>
    <w:pPr>
      <w:tabs>
        <w:tab w:val="center" w:pos="4680"/>
        <w:tab w:val="right" w:pos="9360"/>
      </w:tabs>
      <w:spacing w:after="0"/>
    </w:pPr>
  </w:style>
  <w:style w:type="character" w:customStyle="1" w:styleId="HeaderChar">
    <w:name w:val="Header Char"/>
    <w:basedOn w:val="DefaultParagraphFont"/>
    <w:link w:val="Header"/>
    <w:uiPriority w:val="99"/>
    <w:rsid w:val="00056C9A"/>
    <w:rPr>
      <w:sz w:val="24"/>
    </w:rPr>
  </w:style>
  <w:style w:type="paragraph" w:styleId="Footer">
    <w:name w:val="footer"/>
    <w:basedOn w:val="Normal"/>
    <w:link w:val="FooterChar"/>
    <w:uiPriority w:val="99"/>
    <w:unhideWhenUsed/>
    <w:rsid w:val="00056C9A"/>
    <w:pPr>
      <w:tabs>
        <w:tab w:val="center" w:pos="4680"/>
        <w:tab w:val="right" w:pos="9360"/>
      </w:tabs>
      <w:spacing w:after="0"/>
    </w:pPr>
  </w:style>
  <w:style w:type="character" w:customStyle="1" w:styleId="FooterChar">
    <w:name w:val="Footer Char"/>
    <w:basedOn w:val="DefaultParagraphFont"/>
    <w:link w:val="Footer"/>
    <w:uiPriority w:val="99"/>
    <w:rsid w:val="00056C9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drimranmasood@iub.edu.pk" TargetMode="External"/><Relationship Id="rId14" Type="http://schemas.openxmlformats.org/officeDocument/2006/relationships/hyperlink" Target="http://www.pharmaotherapyonline.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846A2CC6FE44F89155F140B9EC138C"/>
        <w:category>
          <w:name w:val="General"/>
          <w:gallery w:val="placeholder"/>
        </w:category>
        <w:types>
          <w:type w:val="bbPlcHdr"/>
        </w:types>
        <w:behaviors>
          <w:behavior w:val="content"/>
        </w:behaviors>
        <w:guid w:val="{0CBC1C2B-94B5-4B4F-B06B-1411FFF86EA9}"/>
      </w:docPartPr>
      <w:docPartBody>
        <w:p w:rsidR="00892DA6" w:rsidRDefault="00E914C1" w:rsidP="00E914C1">
          <w:pPr>
            <w:pStyle w:val="C6846A2CC6FE44F89155F140B9EC138C"/>
          </w:pPr>
          <w:r>
            <w:rPr>
              <w:rFonts w:asciiTheme="majorHAnsi" w:eastAsiaTheme="majorEastAsia" w:hAnsiTheme="majorHAnsi" w:cstheme="majorBidi"/>
              <w:caps/>
              <w:color w:val="5B9BD5"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4C1"/>
    <w:rsid w:val="00477DA2"/>
    <w:rsid w:val="00892DA6"/>
    <w:rsid w:val="00E914C1"/>
    <w:rsid w:val="00F717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846A2CC6FE44F89155F140B9EC138C">
    <w:name w:val="C6846A2CC6FE44F89155F140B9EC138C"/>
    <w:rsid w:val="00E914C1"/>
  </w:style>
  <w:style w:type="paragraph" w:customStyle="1" w:styleId="E72EBC1865884B7E9FE3D72A927EFD41">
    <w:name w:val="E72EBC1865884B7E9FE3D72A927EFD41"/>
    <w:rsid w:val="00E914C1"/>
  </w:style>
  <w:style w:type="character" w:styleId="PlaceholderText">
    <w:name w:val="Placeholder Text"/>
    <w:basedOn w:val="DefaultParagraphFont"/>
    <w:uiPriority w:val="99"/>
    <w:semiHidden/>
    <w:rsid w:val="00E914C1"/>
    <w:rPr>
      <w:color w:val="808080"/>
    </w:rPr>
  </w:style>
  <w:style w:type="paragraph" w:customStyle="1" w:styleId="6EF25E0FE00747B6AF1A93F35CBB6854">
    <w:name w:val="6EF25E0FE00747B6AF1A93F35CBB6854"/>
    <w:rsid w:val="00892D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Mphil Scholar (Pharmacy Practice)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Rabia Mehboob</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PHP-34102: Pharmacokinetics</dc:title>
  <dc:subject>Drug Dosing In Elderly And Obese Patients</dc:subject>
  <dc:creator>SAJJAD ALI</dc:creator>
  <cp:keywords/>
  <dc:description/>
  <cp:lastModifiedBy>Grace</cp:lastModifiedBy>
  <cp:revision>12</cp:revision>
  <cp:lastPrinted>2020-03-19T19:53:00Z</cp:lastPrinted>
  <dcterms:created xsi:type="dcterms:W3CDTF">2020-03-19T19:16:00Z</dcterms:created>
  <dcterms:modified xsi:type="dcterms:W3CDTF">2020-03-31T13:05:00Z</dcterms:modified>
</cp:coreProperties>
</file>